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k3xesher7i9j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RQI Implementación de Tarjeta de Crédito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SmartVista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febrero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 Web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 / Patricia Tovar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8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9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El tarjetahabiente (TH) realiza el pago de la tarjeta de crédito (TDC) en ventanilla (Cuenta de ahorro-Cheques-Cargo a cuenta) en SiWeb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creación,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1"/>
              <w:spacing w:after="12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spacing w:after="12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 tarjetahabiente (TH) realiza el pago de la tarjeta de crédito (TDC) en ventanilla (Cuenta de ahorro-Cheques-Cargo a cuenta) en SiWeb</w:t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que SV soporte el siguiente listado de trx (SV en SV) para la tarjeta de crédito Visa físicas con el uso de SV Apigate asociado a la siguiente funcionalidad: Pagos en sucursal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habilitar los siguientes métodos, con el fin de poder realizar operaciones de crédito y débito desde las sucursales y canales de Bancoppel: CREDITCARD, para acreditar fondos a la cuenta y DEBITCARD, para debitar fondos a la cuenta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um9tj91mh2hr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b w:val="0"/>
          <w:bCs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SiWeb.</w:t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yflz5jo4pc7n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CREDITCARD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DEBITCARD</w:t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1770698</wp:posOffset>
          </wp:positionH>
          <wp:positionV relativeFrom="paragraph">
            <wp:posOffset>102084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0E97F7F8-7CF8-41BC-8918-2AC23B44F353}"/>
</file>

<file path=customXml/itemProps2.xml><?xml version="1.0" encoding="utf-8"?>
<ds:datastoreItem xmlns:ds="http://schemas.openxmlformats.org/officeDocument/2006/customXml" ds:itemID="{640B8470-EC3F-488E-88A8-DA565E7B6455}"/>
</file>

<file path=customXml/itemProps3.xml><?xml version="1.0" encoding="utf-8"?>
<ds:datastoreItem xmlns:ds="http://schemas.openxmlformats.org/officeDocument/2006/customXml" ds:itemID="{FBB767F2-6DAA-405C-BCA3-8A6C3E0D804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