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pStyle w:val="Heading1"/>
        <w:pBdr>
          <w:bottom w:color="000000" w:space="1" w:sz="4" w:val="single"/>
        </w:pBdr>
        <w:spacing w:after="0" w:before="0" w:lineRule="auto"/>
        <w:ind w:left="283" w:hanging="289"/>
        <w:rPr>
          <w:rFonts w:ascii="Arial" w:cs="Arial" w:eastAsia="Arial" w:hAnsi="Arial"/>
          <w:smallCaps w:val="0"/>
          <w:sz w:val="20"/>
          <w:szCs w:val="20"/>
        </w:rPr>
      </w:pPr>
      <w:bookmarkStart w:colFirst="0" w:colLast="0" w:name="_heading=h.lgv7ub5ed79f" w:id="0"/>
      <w:bookmarkEnd w:id="0"/>
      <w:r w:rsidDel="00000000" w:rsidR="00000000" w:rsidRPr="00000000">
        <w:rPr>
          <w:rFonts w:ascii="Arial" w:cs="Arial" w:eastAsia="Arial" w:hAnsi="Arial"/>
          <w:smallCaps w:val="0"/>
          <w:sz w:val="20"/>
          <w:szCs w:val="20"/>
          <w:rtl w:val="0"/>
        </w:rPr>
        <w:t xml:space="preserve">Descripción de Requerimiento: CJ_OFI_4</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108.0"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rtl w:val="0"/>
              </w:rPr>
              <w:t xml:space="preserve">REQUERIMIENTO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p>
        </w:tc>
        <w:tc>
          <w:tcPr>
            <w:gridSpan w:val="3"/>
            <w:tcBorders>
              <w:top w:color="000000" w:space="0" w:sz="4" w:val="single"/>
              <w:right w:color="000000" w:space="0" w:sz="4" w:val="single"/>
            </w:tcBorders>
            <w:vAlign w:val="center"/>
          </w:tcPr>
          <w:p w:rsidR="00000000" w:rsidDel="00000000" w:rsidP="00000000" w:rsidRDefault="00000000" w:rsidRPr="00000000" w14:paraId="00000005">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highlight w:val="white"/>
                <w:rtl w:val="0"/>
              </w:rPr>
              <w:t xml:space="preserve">El tarjetahabiente (TH) realiza el pago de la tarjeta de crédito (TDC) en ventanilla (Cheques).</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F">
            <w:pPr>
              <w:spacing w:after="0" w:lineRule="auto"/>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sz w:val="18"/>
                <w:szCs w:val="18"/>
                <w:rtl w:val="0"/>
              </w:rPr>
              <w:t xml:space="preserve">Aplicación OFI Web</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t xml:space="preserve">Ricardo Vargas Bazán</w:t>
            </w:r>
            <w:r w:rsidDel="00000000" w:rsidR="00000000" w:rsidRPr="00000000">
              <w:rPr>
                <w:rtl w:val="0"/>
              </w:rPr>
            </w:r>
          </w:p>
        </w:tc>
        <w:tc>
          <w:tcPr>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3">
            <w:pPr>
              <w:spacing w:after="0" w:before="0" w:lineRule="auto"/>
              <w:rPr>
                <w:color w:val="000000"/>
                <w:sz w:val="18"/>
                <w:szCs w:val="18"/>
              </w:rPr>
            </w:pPr>
            <w:r w:rsidDel="00000000" w:rsidR="00000000" w:rsidRPr="00000000">
              <w:rPr>
                <w:color w:val="000000"/>
                <w:sz w:val="18"/>
                <w:szCs w:val="18"/>
                <w:rtl w:val="0"/>
              </w:rPr>
              <w:t xml:space="preserve">SmartVista</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0</w:t>
            </w:r>
            <w:r w:rsidDel="00000000" w:rsidR="00000000" w:rsidRPr="00000000">
              <w:rPr>
                <w:rtl w:val="0"/>
              </w:rPr>
              <w:t xml:space="preserve">5</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de </w:t>
            </w:r>
            <w:r w:rsidDel="00000000" w:rsidR="00000000" w:rsidRPr="00000000">
              <w:rPr>
                <w:rtl w:val="0"/>
              </w:rPr>
              <w:t xml:space="preserve">diciembre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del 2023</w:t>
            </w:r>
          </w:p>
        </w:tc>
        <w:tc>
          <w:tcPr>
            <w:tcBorders>
              <w:bottom w:color="000000" w:space="0" w:sz="4" w:val="single"/>
            </w:tcBorders>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9">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Fábrica de Productos Digitales</w:t>
            </w:r>
          </w:p>
        </w:tc>
        <w:tc>
          <w:tcPr>
            <w:vAlign w:val="center"/>
          </w:tcPr>
          <w:p w:rsidR="00000000" w:rsidDel="00000000" w:rsidP="00000000" w:rsidRDefault="00000000" w:rsidRPr="00000000" w14:paraId="0000002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Marcela Zoraya Zetina Manrique</w:t>
            </w:r>
          </w:p>
        </w:tc>
        <w:tc>
          <w:tcPr>
            <w:vAlign w:val="center"/>
          </w:tcPr>
          <w:p w:rsidR="00000000" w:rsidDel="00000000" w:rsidP="00000000" w:rsidRDefault="00000000" w:rsidRPr="00000000" w14:paraId="00000022">
            <w:pPr>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w:t>
            </w:r>
          </w:p>
          <w:p w:rsidR="00000000" w:rsidDel="00000000" w:rsidP="00000000" w:rsidRDefault="00000000" w:rsidRPr="00000000" w14:paraId="00000024">
            <w:pPr>
              <w:spacing w:after="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Gobierno de Configuración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Rafael Elizalde Domiguez</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9">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Gobierno de Configuración</w:t>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C">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D">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E">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OFI Web BanCoppel</w:t>
            </w:r>
          </w:p>
        </w:tc>
        <w:tc>
          <w:tcPr>
            <w:vAlign w:val="center"/>
          </w:tcPr>
          <w:p w:rsidR="00000000" w:rsidDel="00000000" w:rsidP="00000000" w:rsidRDefault="00000000" w:rsidRPr="00000000" w14:paraId="0000003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Abraham Narvaez / Patricia Tovar</w:t>
            </w:r>
          </w:p>
        </w:tc>
        <w:tc>
          <w:tcPr>
            <w:vAlign w:val="center"/>
          </w:tcPr>
          <w:p w:rsidR="00000000" w:rsidDel="00000000" w:rsidP="00000000" w:rsidRDefault="00000000" w:rsidRPr="00000000" w14:paraId="00000033">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sectPr>
          <w:headerReference r:id="rId7"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7">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8">
      <w:pPr>
        <w:pStyle w:val="Heading2"/>
        <w:spacing w:after="0" w:before="0" w:lineRule="auto"/>
        <w:ind w:left="578" w:hanging="578"/>
        <w:rPr>
          <w:b w:val="1"/>
          <w:i w:val="0"/>
          <w:sz w:val="24"/>
          <w:szCs w:val="24"/>
        </w:rPr>
      </w:pPr>
      <w:r w:rsidDel="00000000" w:rsidR="00000000" w:rsidRPr="00000000">
        <w:rPr>
          <w:b w:val="1"/>
          <w:i w:val="0"/>
          <w:sz w:val="24"/>
          <w:szCs w:val="24"/>
          <w:rtl w:val="0"/>
        </w:rPr>
        <w:t xml:space="preserve">Antecedentes.</w:t>
      </w:r>
    </w:p>
    <w:p w:rsidR="00000000" w:rsidDel="00000000" w:rsidP="00000000" w:rsidRDefault="00000000" w:rsidRPr="00000000" w14:paraId="00000039">
      <w:pPr>
        <w:spacing w:after="0" w:before="0" w:lineRule="auto"/>
        <w:ind w:firstLine="57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spacing w:after="0" w:before="0" w:lineRule="auto"/>
        <w:rPr>
          <w:b w:val="1"/>
          <w:i w:val="0"/>
          <w:sz w:val="24"/>
          <w:szCs w:val="24"/>
        </w:rPr>
      </w:pPr>
      <w:r w:rsidDel="00000000" w:rsidR="00000000" w:rsidRPr="00000000">
        <w:rPr>
          <w:b w:val="1"/>
          <w:i w:val="0"/>
          <w:sz w:val="24"/>
          <w:szCs w:val="24"/>
          <w:rtl w:val="0"/>
        </w:rPr>
        <w:t xml:space="preserve">Propósito.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sz w:val="24"/>
          <w:szCs w:val="24"/>
          <w:rtl w:val="0"/>
        </w:rPr>
        <w:t xml:space="preserve">El tarjetahabiente (TH) realiza el pago de la tarjeta de crédito (TDC) en ventanilla (Cheques).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Está</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considerado la solicitud de la tarjeta física, configuración y validación de un nuevo producto de Tarjeta de Crédito mediante la plataforma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SmartVista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(SV).</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9864.0" w:type="dxa"/>
        <w:jc w:val="left"/>
        <w:tblInd w:w="108.0" w:type="dxa"/>
        <w:tblLayout w:type="fixed"/>
        <w:tblLook w:val="0400"/>
      </w:tblPr>
      <w:tblGrid>
        <w:gridCol w:w="1691"/>
        <w:gridCol w:w="8173"/>
        <w:tblGridChange w:id="0">
          <w:tblGrid>
            <w:gridCol w:w="1691"/>
            <w:gridCol w:w="8173"/>
          </w:tblGrid>
        </w:tblGridChange>
      </w:tblGrid>
      <w:tr>
        <w:trPr>
          <w:cantSplit w:val="0"/>
          <w:tblHeader w:val="0"/>
        </w:trPr>
        <w:tc>
          <w:tcPr/>
          <w:p w:rsidR="00000000" w:rsidDel="00000000" w:rsidP="00000000" w:rsidRDefault="00000000" w:rsidRPr="00000000" w14:paraId="00000040">
            <w:pPr>
              <w:keepNext w:val="1"/>
              <w:keepLines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41">
            <w:pPr>
              <w:keepNext w:val="1"/>
              <w:keepLines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Fonts w:ascii="Calibri" w:cs="Calibri" w:eastAsia="Calibri" w:hAnsi="Calibri"/>
                <w:b w:val="1"/>
                <w:sz w:val="24"/>
                <w:szCs w:val="24"/>
                <w:highlight w:val="white"/>
                <w:rtl w:val="0"/>
              </w:rPr>
              <w:t xml:space="preserve">El tarjetahabiente (TH) realiza el pago de la tarjeta de crédito (TDC) en ventanilla (Cheques)</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37"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3">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El tarjetahabiente debe realizar el pago de su tarjeta de crédito en sucursal BanCoppel, específicamente en ventanilla.</w:t>
      </w:r>
    </w:p>
    <w:p w:rsidR="00000000" w:rsidDel="00000000" w:rsidP="00000000" w:rsidRDefault="00000000" w:rsidRPr="00000000" w14:paraId="00000044">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En OFI Web de BanCoppel, se requiere de los siguientes datos personales del tarjetahabiente (TH) para realizar el pago de su tarjeta de crédito (TDC), como su número de tarjeta, o se puede realizar la lectura de su tarjeta, para este  proceso se requiere el llamado de la API: </w:t>
      </w:r>
      <w:r w:rsidDel="00000000" w:rsidR="00000000" w:rsidRPr="00000000">
        <w:rPr>
          <w:rFonts w:ascii="Calibri" w:cs="Calibri" w:eastAsia="Calibri" w:hAnsi="Calibri"/>
          <w:sz w:val="24"/>
          <w:szCs w:val="24"/>
          <w:rtl w:val="0"/>
        </w:rPr>
        <w:t xml:space="preserve">getCardData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5">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sz w:val="24"/>
          <w:szCs w:val="24"/>
          <w:rtl w:val="0"/>
        </w:rPr>
        <w:t xml:space="preserve">: El tarjetahabiente (TH) al realizar el pago de su tarjeta de crédito (TC), se le indica la opción que desea seleccionar para realizar el pago mínimo, pago para no generar intereses o pago total de la tarjeta,en el cual se visualiza un monto a pagar en cada una de estas opciones. </w:t>
      </w:r>
    </w:p>
    <w:p w:rsidR="00000000" w:rsidDel="00000000" w:rsidP="00000000" w:rsidRDefault="00000000" w:rsidRPr="00000000" w14:paraId="00000046">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w:t>
      </w:r>
      <w:r w:rsidDel="00000000" w:rsidR="00000000" w:rsidRPr="00000000">
        <w:rPr>
          <w:rFonts w:ascii="Calibri" w:cs="Calibri" w:eastAsia="Calibri" w:hAnsi="Calibri"/>
          <w:sz w:val="24"/>
          <w:szCs w:val="24"/>
          <w:rtl w:val="0"/>
        </w:rPr>
        <w:t xml:space="preserve">:  El tarjetahabiente (TH), al realizar el pago con cheques en ventanilla, el sistema OFI Web, se visualiza que la transacción se realizó satisfactoriamente, se imprime ticket del movimiento, para realizar este proceso se requiere de la siguiente creditCard.  </w:t>
      </w:r>
      <w:r w:rsidDel="00000000" w:rsidR="00000000" w:rsidRPr="00000000">
        <w:br w:type="page"/>
      </w:r>
      <w:r w:rsidDel="00000000" w:rsidR="00000000" w:rsidRPr="00000000">
        <w:rPr>
          <w:rtl w:val="0"/>
        </w:rPr>
      </w:r>
    </w:p>
    <w:p w:rsidR="00000000" w:rsidDel="00000000" w:rsidP="00000000" w:rsidRDefault="00000000" w:rsidRPr="00000000" w14:paraId="00000047">
      <w:pPr>
        <w:keepNext w:val="1"/>
        <w:spacing w:after="12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pStyle w:val="Heading1"/>
        <w:pBdr>
          <w:bottom w:color="000000" w:space="1" w:sz="4" w:val="single"/>
        </w:pBdr>
        <w:ind w:left="0" w:firstLine="0"/>
        <w:rPr>
          <w:smallCaps w:val="0"/>
          <w:sz w:val="24"/>
          <w:szCs w:val="24"/>
        </w:rPr>
      </w:pPr>
      <w:bookmarkStart w:colFirst="0" w:colLast="0" w:name="_heading=h.vdszo6pcvdt1" w:id="1"/>
      <w:bookmarkEnd w:id="1"/>
      <w:r w:rsidDel="00000000" w:rsidR="00000000" w:rsidRPr="00000000">
        <w:rPr>
          <w:smallCaps w:val="0"/>
          <w:sz w:val="24"/>
          <w:szCs w:val="24"/>
          <w:rtl w:val="0"/>
        </w:rPr>
        <w:t xml:space="preserve">Precondiciones.</w:t>
      </w:r>
    </w:p>
    <w:p w:rsidR="00000000" w:rsidDel="00000000" w:rsidP="00000000" w:rsidRDefault="00000000" w:rsidRPr="00000000" w14:paraId="00000049">
      <w:pPr>
        <w:spacing w:after="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numPr>
          <w:ilvl w:val="0"/>
          <w:numId w:val="2"/>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Última versión del sistema OFI Web.</w:t>
      </w:r>
    </w:p>
    <w:p w:rsidR="00000000" w:rsidDel="00000000" w:rsidP="00000000" w:rsidRDefault="00000000" w:rsidRPr="00000000" w14:paraId="0000004B">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pStyle w:val="Heading1"/>
        <w:pBdr>
          <w:bottom w:color="000000" w:space="1" w:sz="4" w:val="single"/>
        </w:pBdr>
        <w:ind w:left="284" w:firstLine="0"/>
        <w:rPr>
          <w:smallCaps w:val="0"/>
          <w:sz w:val="24"/>
          <w:szCs w:val="24"/>
        </w:rPr>
      </w:pPr>
      <w:bookmarkStart w:colFirst="0" w:colLast="0" w:name="_heading=h.k27wxynpgk50" w:id="2"/>
      <w:bookmarkEnd w:id="2"/>
      <w:r w:rsidDel="00000000" w:rsidR="00000000" w:rsidRPr="00000000">
        <w:rPr>
          <w:smallCaps w:val="0"/>
          <w:sz w:val="24"/>
          <w:szCs w:val="24"/>
          <w:rtl w:val="0"/>
        </w:rPr>
        <w:t xml:space="preserve">Referencias.</w:t>
      </w:r>
    </w:p>
    <w:p w:rsidR="00000000" w:rsidDel="00000000" w:rsidP="00000000" w:rsidRDefault="00000000" w:rsidRPr="00000000" w14:paraId="0000004D">
      <w:pPr>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2 [</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w:t>
      </w:r>
      <w:r w:rsidDel="00000000" w:rsidR="00000000" w:rsidRPr="00000000">
        <w:rPr>
          <w:rFonts w:ascii="Calibri" w:cs="Calibri" w:eastAsia="Calibri" w:hAnsi="Calibri"/>
          <w:i w:val="1"/>
          <w:sz w:val="24"/>
          <w:szCs w:val="24"/>
          <w:rtl w:val="0"/>
        </w:rPr>
        <w:t xml:space="preserve">getCardData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E">
      <w:pPr>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4 [</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creditCard.</w:t>
      </w:r>
      <w:r w:rsidDel="00000000" w:rsidR="00000000" w:rsidRPr="00000000">
        <w:rPr>
          <w:rtl w:val="0"/>
        </w:rPr>
      </w:r>
    </w:p>
    <w:sectPr>
      <w:footerReference r:id="rId8"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9972.0" w:type="dxa"/>
      <w:jc w:val="left"/>
      <w:tblLayout w:type="fixed"/>
      <w:tblLook w:val="0400"/>
    </w:tblPr>
    <w:tblGrid>
      <w:gridCol w:w="5701"/>
      <w:gridCol w:w="4271"/>
      <w:tblGridChange w:id="0">
        <w:tblGrid>
          <w:gridCol w:w="5701"/>
          <w:gridCol w:w="4271"/>
        </w:tblGrid>
      </w:tblGridChange>
    </w:tblGrid>
    <w:tr>
      <w:trPr>
        <w:cantSplit w:val="0"/>
        <w:trHeight w:val="996" w:hRule="atLeast"/>
        <w:tblHeader w:val="0"/>
      </w:trPr>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1694497</wp:posOffset>
                </wp:positionH>
                <wp:positionV relativeFrom="paragraph">
                  <wp:posOffset>8632</wp:posOffset>
                </wp:positionV>
                <wp:extent cx="2787650" cy="54864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c>
      <w:tc>
        <w:tcPr>
          <w:vAlign w:val="bottom"/>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Cv7VRl/IOVgciGnAxBWlPQwAvQ==">CgMxLjAyDmgubGd2N3ViNWVkNzlmMg5oLnZkc3pvNnBjdmR0MTIOaC5rMjd3eHlucGdrNTA4AHIhMUsxNVhrQkZfa2F5eVNLSGFBeUQ5M0c5TVVRU2k1RzM0</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8962CF91-5B23-4B0F-990C-229ED38D82F7}"/>
</file>

<file path=customXML/itemProps3.xml><?xml version="1.0" encoding="utf-8"?>
<ds:datastoreItem xmlns:ds="http://schemas.openxmlformats.org/officeDocument/2006/customXml" ds:itemID="{F866BF30-C3D7-429E-AFAE-AC1E7AEEE35D}"/>
</file>

<file path=customXML/itemProps4.xml><?xml version="1.0" encoding="utf-8"?>
<ds:datastoreItem xmlns:ds="http://schemas.openxmlformats.org/officeDocument/2006/customXml" ds:itemID="{A12DBD5C-08A6-45C0-A5C8-CB03179AF02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