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Descripción de Requerimiento: CJ_OFI_6</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highlight w:val="white"/>
                <w:rtl w:val="0"/>
              </w:rPr>
              <w:t xml:space="preserve">El Tarjetahabiente (TH) realiza la cancelación de la tarjeta de crédito (TDC) física en la sucursal</w:t>
            </w:r>
            <w:r w:rsidDel="00000000" w:rsidR="00000000" w:rsidRPr="00000000">
              <w:rPr>
                <w:b w:val="1"/>
                <w:bCs w:val="1"/>
                <w:sz w:val="16"/>
                <w:szCs w:val="16"/>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Aplicación OFI Web</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Ricardo Vargas Bazán</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2">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07</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tl w:val="0"/>
              </w:rPr>
              <w:t xml:space="preserve">noviembre</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del 2023</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7">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1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Fábrica de Productos Digitales</w:t>
            </w:r>
            <w:r w:rsidDel="00000000" w:rsidR="00000000" w:rsidRPr="00000000">
              <w:rPr>
                <w:rtl w:val="0"/>
              </w:rPr>
            </w:r>
          </w:p>
        </w:tc>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p w:rsidR="00000000" w:rsidDel="00000000" w:rsidP="00000000" w:rsidRDefault="00000000" w:rsidRPr="00000000" w14:paraId="00000023">
            <w:pPr>
              <w:spacing w:after="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Gobierno de Configuración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Rafael Elizalde Domiguez</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Gobierno de Configuración</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OFI Web BanCoppel</w:t>
            </w:r>
          </w:p>
        </w:tc>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Abraham Narvaez / Patricia Tovar</w:t>
            </w:r>
          </w:p>
        </w:tc>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7">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8">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39">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highlight w:val="white"/>
          <w:rtl w:val="0"/>
        </w:rPr>
        <w:t xml:space="preserve">El Tarjetahabiente (TH) realiza la cancelación de la tarjeta de crédito (TDC) física en la sucursal</w:t>
      </w:r>
      <w:r w:rsidDel="00000000" w:rsidR="00000000" w:rsidRPr="00000000">
        <w:rPr>
          <w:b w:val="1"/>
          <w:bCs w:val="1"/>
          <w:sz w:val="16"/>
          <w:szCs w:val="16"/>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está</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considerado la creación, configuración y validación de un nuevo producto de Tarjeta de Crédito mediante la plataforma SmartVista (SV).</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Solicitar </w:t>
            </w:r>
            <w:r w:rsidDel="00000000" w:rsidR="00000000" w:rsidRPr="00000000">
              <w:rPr>
                <w:rFonts w:ascii="Calibri" w:cs="Calibri" w:eastAsia="Calibri" w:hAnsi="Calibri"/>
                <w:b w:val="1"/>
                <w:bCs w:val="1"/>
                <w:sz w:val="24"/>
                <w:szCs w:val="24"/>
                <w:highlight w:val="white"/>
                <w:rtl w:val="0"/>
              </w:rPr>
              <w:t xml:space="preserve">la cancelación de la tarjeta de crédito (TDC) física en sucursal</w:t>
            </w:r>
            <w:r w:rsidDel="00000000" w:rsidR="00000000" w:rsidRPr="00000000">
              <w:rPr>
                <w:rtl w:val="0"/>
              </w:rPr>
            </w:r>
          </w:p>
        </w:tc>
      </w:tr>
    </w:tbl>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El tarjetahabiente (TH) requiere de cancelar su tarjeta de crédito (TDC), para esto debe acudir a la sucursal BanCoppel y realizar este procedimiento en ventanilla con un ejecutivo, el Tarjetahabiente (TH) debe proporcionar datos para asociarlo con su tarjeta de crédito (TDC), ya sea nombre, número de la tarjeta a cancelar, este proceso lo debe realizar el ejecutivo en el sistema OFI Web de BanCoppel, para este procedimiento se debe hacer el llamado de las API´s </w:t>
      </w:r>
      <w:r w:rsidDel="00000000" w:rsidR="00000000" w:rsidRPr="00000000">
        <w:rPr>
          <w:rFonts w:ascii="Calibri" w:cs="Calibri" w:eastAsia="Calibri" w:hAnsi="Calibri"/>
          <w:b w:val="1"/>
          <w:bCs w:val="1"/>
          <w:sz w:val="24"/>
          <w:szCs w:val="24"/>
          <w:rtl w:val="0"/>
        </w:rPr>
        <w:t xml:space="preserve">getCustomerinfo y getinstantcreditstatement.</w:t>
      </w:r>
    </w:p>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Para realizar la cancelación de la tarjeta de crédito (TDC) del Tarjetahabiente (TH), se requiere que su cuenta no deba tener adeudo, el sistema OFI Web visualizará la cuenta en ceros, en caso contrario deberá liquidar su adeudos para poder realizar la cancelación de su tarjeta de crédito, se requiere de la siguiente API para realizar este proceso </w:t>
      </w:r>
      <w:r w:rsidDel="00000000" w:rsidR="00000000" w:rsidRPr="00000000">
        <w:rPr>
          <w:rFonts w:ascii="Calibri" w:cs="Calibri" w:eastAsia="Calibri" w:hAnsi="Calibri"/>
          <w:sz w:val="24"/>
          <w:szCs w:val="24"/>
          <w:rtl w:val="0"/>
        </w:rPr>
        <w:t xml:space="preserve">change</w:t>
      </w:r>
      <w:r w:rsidDel="00000000" w:rsidR="00000000" w:rsidRPr="00000000">
        <w:rPr>
          <w:rFonts w:ascii="Calibri" w:cs="Calibri" w:eastAsia="Calibri" w:hAnsi="Calibri"/>
          <w:sz w:val="24"/>
          <w:szCs w:val="24"/>
          <w:rtl w:val="0"/>
        </w:rPr>
        <w:t xml:space="preserve">cardstatus.</w:t>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46">
      <w:pPr>
        <w:keepNext w:val="1"/>
        <w:numPr>
          <w:ilvl w:val="0"/>
          <w:numId w:val="1"/>
        </w:numPr>
        <w:spacing w:after="120" w:befor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r w:rsidDel="00000000" w:rsidR="00000000" w:rsidRPr="00000000">
        <w:rPr>
          <w:rFonts w:ascii="Calibri" w:cs="Calibri" w:eastAsia="Calibri" w:hAnsi="Calibri"/>
          <w:sz w:val="24"/>
          <w:szCs w:val="24"/>
          <w:rtl w:val="0"/>
        </w:rPr>
        <w:t xml:space="preserve">o debe tener alguna transacción en disputa o aclaración.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Ú</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ltima versión</w:t>
      </w:r>
      <w:r w:rsidDel="00000000" w:rsidR="00000000" w:rsidRPr="00000000">
        <w:rPr>
          <w:rFonts w:ascii="Calibri" w:cs="Calibri" w:eastAsia="Calibri" w:hAnsi="Calibri"/>
          <w:sz w:val="24"/>
          <w:szCs w:val="24"/>
          <w:rtl w:val="0"/>
        </w:rPr>
        <w:t xml:space="preserve"> del sistema OFI Web de BanCoppel.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pStyle w:val="Heading1"/>
        <w:pBdr>
          <w:bottom w:color="000000" w:space="1" w:sz="4" w:val="single"/>
        </w:pBdr>
        <w:ind w:left="284"/>
        <w:rPr>
          <w:rFonts w:ascii="Calibri" w:cs="Calibri" w:eastAsia="Calibri" w:hAnsi="Calibri"/>
          <w:sz w:val="24"/>
          <w:szCs w:val="24"/>
        </w:rPr>
      </w:pPr>
      <w:bookmarkStart w:colFirst="0" w:colLast="0" w:name="_75a7hhjelc96" w:id="0"/>
      <w:bookmarkEnd w:id="0"/>
      <w:r w:rsidDel="00000000" w:rsidR="00000000" w:rsidRPr="00000000">
        <w:rPr>
          <w:smallCaps w:val="0"/>
          <w:sz w:val="24"/>
          <w:szCs w:val="24"/>
          <w:rtl w:val="0"/>
        </w:rPr>
        <w:t xml:space="preserve">Referencias</w:t>
      </w:r>
      <w:r w:rsidDel="00000000" w:rsidR="00000000" w:rsidRPr="00000000">
        <w:rPr>
          <w:rtl w:val="0"/>
        </w:rPr>
      </w:r>
    </w:p>
    <w:p w:rsidR="00000000" w:rsidDel="00000000" w:rsidP="00000000" w:rsidRDefault="00000000" w:rsidRPr="00000000" w14:paraId="0000004A">
      <w:pPr>
        <w:numPr>
          <w:ilvl w:val="0"/>
          <w:numId w:val="2"/>
        </w:numPr>
        <w:spacing w:before="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bCs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w:t>
      </w:r>
      <w:r w:rsidDel="00000000" w:rsidR="00000000" w:rsidRPr="00000000">
        <w:rPr>
          <w:rFonts w:ascii="Calibri" w:cs="Calibri" w:eastAsia="Calibri" w:hAnsi="Calibri"/>
          <w:i w:val="1"/>
          <w:iCs w:val="1"/>
          <w:sz w:val="24"/>
          <w:szCs w:val="24"/>
          <w:rtl w:val="0"/>
        </w:rPr>
        <w:t xml:space="preserve">change</w:t>
      </w:r>
      <w:r w:rsidDel="00000000" w:rsidR="00000000" w:rsidRPr="00000000">
        <w:rPr>
          <w:rFonts w:ascii="Calibri" w:cs="Calibri" w:eastAsia="Calibri" w:hAnsi="Calibri"/>
          <w:i w:val="1"/>
          <w:iCs w:val="1"/>
          <w:sz w:val="24"/>
          <w:szCs w:val="24"/>
          <w:rtl w:val="0"/>
        </w:rPr>
        <w:t xml:space="preserve">cardstatus.</w:t>
      </w:r>
      <w:r w:rsidDel="00000000" w:rsidR="00000000" w:rsidRPr="00000000">
        <w:rPr>
          <w:rtl w:val="0"/>
        </w:rPr>
      </w:r>
    </w:p>
    <w:sectPr>
      <w:footerReference r:id="rId7"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1809750</wp:posOffset>
                </wp:positionH>
                <wp:positionV relativeFrom="paragraph">
                  <wp:posOffset>0</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E2F7F170-9940-4D7B-B75B-E6571405A770}"/>
</file>

<file path=customXml/itemProps2.xml><?xml version="1.0" encoding="utf-8"?>
<ds:datastoreItem xmlns:ds="http://schemas.openxmlformats.org/officeDocument/2006/customXml" ds:itemID="{56F01033-A486-435B-A359-B5E1209A6D1D}"/>
</file>

<file path=customXml/itemProps3.xml><?xml version="1.0" encoding="utf-8"?>
<ds:datastoreItem xmlns:ds="http://schemas.openxmlformats.org/officeDocument/2006/customXml" ds:itemID="{61EB016D-842B-4454-B2C1-C762B5627A9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