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CJ_SPEI_001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solicita el pago de su tarjeta de crédito con cargo a su cuenta de captación.</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t xml:space="preserve">SPEI</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Jaime Izquierdo Tapia</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rPr>
            </w:pPr>
            <w:r w:rsidDel="00000000" w:rsidR="00000000" w:rsidRPr="00000000">
              <w:rPr>
                <w:color w:val="000000"/>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de </w:t>
            </w:r>
            <w:r w:rsidDel="00000000" w:rsidR="00000000" w:rsidRPr="00000000">
              <w:rPr>
                <w:rtl w:val="0"/>
              </w:rPr>
              <w:t xml:space="preserve">marzo</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w:t>
            </w:r>
            <w:r w:rsidDel="00000000" w:rsidR="00000000" w:rsidRPr="00000000">
              <w:rPr>
                <w:rtl w:val="0"/>
              </w:rPr>
              <w:t xml:space="preserve">4</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 de desarrollo</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 </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SPEI</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El Tarjetahabiente (TH) solicita el pago de su tarjeta de crédito con cargo a su cuenta de captación.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r w:rsidDel="00000000" w:rsidR="00000000" w:rsidRPr="00000000">
        <w:rPr>
          <w:rtl w:val="0"/>
        </w:rPr>
      </w:r>
    </w:p>
    <w:p w:rsidR="00000000" w:rsidDel="00000000" w:rsidP="00000000" w:rsidRDefault="00000000" w:rsidRPr="00000000" w14:paraId="0000003C">
      <w:pPr>
        <w:pStyle w:val="Heading1"/>
        <w:pBdr>
          <w:bottom w:color="000000" w:space="1" w:sz="4" w:val="single"/>
        </w:pBdr>
        <w:ind w:left="284" w:hanging="290"/>
        <w:rPr>
          <w:rFonts w:ascii="Calibri" w:cs="Calibri" w:eastAsia="Calibri" w:hAnsi="Calibri"/>
          <w:sz w:val="24"/>
          <w:szCs w:val="24"/>
        </w:rPr>
      </w:pPr>
      <w:r w:rsidDel="00000000" w:rsidR="00000000" w:rsidRPr="00000000">
        <w:rPr>
          <w:smallCaps w:val="0"/>
          <w:sz w:val="24"/>
          <w:szCs w:val="24"/>
          <w:rtl w:val="0"/>
        </w:rPr>
        <w:t xml:space="preserve">Mejoras / Modificaciones Solicitadas.</w:t>
      </w:r>
      <w:r w:rsidDel="00000000" w:rsidR="00000000" w:rsidRPr="00000000">
        <w:rPr>
          <w:rtl w:val="0"/>
        </w:rPr>
      </w:r>
    </w:p>
    <w:p w:rsidR="00000000" w:rsidDel="00000000" w:rsidP="00000000" w:rsidRDefault="00000000" w:rsidRPr="00000000" w14:paraId="0000003D">
      <w:pPr>
        <w:keepNext w:val="1"/>
        <w:spacing w:after="12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Actualmente invocamos web services hacía un servidor IBM, donde tenemos ahí implementado el bus, el bus de IBM, el cual nos sirve para poder invocar los Stored procedures que al final son ejecutados dentro del core bancario. Ese flujo es para el core actual e inclusive considerando el proyecto del MVP de tarjeta de crédito, el mayor volumen de la operación se va a llevar en el core bancario.</w:t>
      </w:r>
      <w:r w:rsidDel="00000000" w:rsidR="00000000" w:rsidRPr="00000000">
        <w:rPr>
          <w:rtl w:val="0"/>
        </w:rPr>
      </w:r>
    </w:p>
    <w:p w:rsidR="00000000" w:rsidDel="00000000" w:rsidP="00000000" w:rsidRDefault="00000000" w:rsidRPr="00000000" w14:paraId="0000003E">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participante emisor valida los elementos de seguridad de la instrucción y guarda evidencia de que realizó esta validación.</w:t>
      </w:r>
    </w:p>
    <w:p w:rsidR="00000000" w:rsidDel="00000000" w:rsidP="00000000" w:rsidRDefault="00000000" w:rsidRPr="00000000" w14:paraId="0000003F">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participante emisor prepara las instrucciones de sus clientes, les incluye elementos de seguridad adicionales (sujeto a la circular 14/2017), sobre los cuales únicamente ellos tienen el control, y los envían al SPEI del Banco de México. </w:t>
      </w:r>
    </w:p>
    <w:p w:rsidR="00000000" w:rsidDel="00000000" w:rsidP="00000000" w:rsidRDefault="00000000" w:rsidRPr="00000000" w14:paraId="00000040">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Banco de México verifica las firmas electrónicas de los participantes, que dan certeza de la integridad de la instrucción de pago, y procede a su procesamiento y posterior liquidación al participante receptor del pago.</w:t>
      </w:r>
    </w:p>
    <w:p w:rsidR="00000000" w:rsidDel="00000000" w:rsidP="00000000" w:rsidRDefault="00000000" w:rsidRPr="00000000" w14:paraId="0000004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5</w:t>
      </w:r>
      <w:r w:rsidDel="00000000" w:rsidR="00000000" w:rsidRPr="00000000">
        <w:rPr>
          <w:rFonts w:ascii="Calibri" w:cs="Calibri" w:eastAsia="Calibri" w:hAnsi="Calibri"/>
          <w:sz w:val="24"/>
          <w:szCs w:val="24"/>
          <w:rtl w:val="0"/>
        </w:rPr>
        <w:t xml:space="preserve">. Se informa a los participantes involucrados en la transferencia de recursos de la liquidación y el participante receptor del pago acredita los fondos en la cuenta de su cliente y envía al Banco de México la información para generar el Comprobante Electrónico de Pago (CEP).</w:t>
      </w:r>
    </w:p>
    <w:p w:rsidR="00000000" w:rsidDel="00000000" w:rsidP="00000000" w:rsidRDefault="00000000" w:rsidRPr="00000000" w14:paraId="00000042">
      <w:pPr>
        <w:keepNext w:val="1"/>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keepNext w:val="1"/>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Tener una cuenta con algún participante del SPEI® con el servicio de envío de transferencias.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Este servicio se solicita directamente con la institución financiera donde tienes tu cuenta de captación.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Conocer la Clave Básica Estandarizada (CLABE) de la cuenta (18 dígitos), el número de tarjeta de crédito (16 dígitos) o el número del teléfono celular (10 dígitos) asociado a la cuenta de la persona o empresa a la que le vas a pagar o transferir el dinero.</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Por seguridad, el servicio de envío de transferencias de las entidades financieras podrían solicitar dar de alta previamente la cuenta que recibirá el pago, la cual puede usarse después de cierto tiempo.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Para operaciones por montos menores a 1,500 UDIS, los tiempos de procesamiento son reducidos y en muchos casos el registro de la cuenta beneficiaria se simplifica.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pBdr>
          <w:bottom w:color="000000" w:space="1" w:sz="4" w:val="single"/>
        </w:pBdr>
        <w:ind w:left="284"/>
        <w:rPr>
          <w:smallCaps w:val="0"/>
          <w:sz w:val="24"/>
          <w:szCs w:val="24"/>
        </w:rPr>
      </w:pPr>
      <w:bookmarkStart w:colFirst="0" w:colLast="0" w:name="_ekouo3e7fjb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No existe una referencia en el documento BanCoppel-</w:t>
      </w:r>
      <w:r w:rsidDel="00000000" w:rsidR="00000000" w:rsidRPr="00000000">
        <w:rPr>
          <w:rFonts w:ascii="Calibri" w:cs="Calibri" w:eastAsia="Calibri" w:hAnsi="Calibri"/>
          <w:sz w:val="24"/>
          <w:szCs w:val="24"/>
          <w:rtl w:val="0"/>
        </w:rPr>
        <w:t xml:space="preserve">FSD0107</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84373</wp:posOffset>
          </wp:positionV>
          <wp:extent cx="2787650" cy="5486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3"/>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8C487EB-701D-4DF0-A728-E18E4F30B79B}"/>
</file>

<file path=customXml/itemProps2.xml><?xml version="1.0" encoding="utf-8"?>
<ds:datastoreItem xmlns:ds="http://schemas.openxmlformats.org/officeDocument/2006/customXml" ds:itemID="{1108F9D9-4A10-4072-B435-D859113A3724}"/>
</file>

<file path=customXml/itemProps3.xml><?xml version="1.0" encoding="utf-8"?>
<ds:datastoreItem xmlns:ds="http://schemas.openxmlformats.org/officeDocument/2006/customXml" ds:itemID="{6D2ADDBE-90C6-4201-9473-D5BC494E11DB}"/>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