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bottom w:color="000000" w:space="1" w:sz="4" w:val="single"/>
        </w:pBdr>
        <w:spacing w:after="0" w:before="0" w:lineRule="auto"/>
        <w:ind w:left="283" w:hanging="289"/>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Descripción de Requerimiento: CJ_SPEI_01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923.0" w:type="dxa"/>
        <w:jc w:val="left"/>
        <w:tblInd w:w="-6.999999999999993" w:type="dxa"/>
        <w:tblLayout w:type="fixed"/>
        <w:tblLook w:val="0000"/>
      </w:tblPr>
      <w:tblGrid>
        <w:gridCol w:w="2452"/>
        <w:gridCol w:w="2793"/>
        <w:gridCol w:w="1945"/>
        <w:gridCol w:w="2733"/>
        <w:tblGridChange w:id="0">
          <w:tblGrid>
            <w:gridCol w:w="2452"/>
            <w:gridCol w:w="2793"/>
            <w:gridCol w:w="1945"/>
            <w:gridCol w:w="2733"/>
          </w:tblGrid>
        </w:tblGridChange>
      </w:tblGrid>
      <w:tr>
        <w:trPr>
          <w:cantSplit w:val="0"/>
          <w:tblHeader w:val="0"/>
        </w:trPr>
        <w:tc>
          <w:tcPr>
            <w:tcBorders>
              <w:top w:color="000000" w:space="0" w:sz="4" w:val="single"/>
              <w:left w:color="000000"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p>
        </w:tc>
        <w:tc>
          <w:tcPr>
            <w:gridSpan w:val="3"/>
            <w:tcBorders>
              <w:top w:color="000000" w:space="0" w:sz="4" w:val="single"/>
              <w:right w:color="000000"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1"/>
                <w:bCs w:val="1"/>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sz w:val="24"/>
                <w:szCs w:val="24"/>
                <w:rtl w:val="0"/>
              </w:rPr>
              <w:t xml:space="preserve">El Tarjetahabiente (TH) solicita el pago de su tarjeta de crédito con cargo a su cuenta de captación.</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SOLICITANTE:</w:t>
            </w:r>
          </w:p>
        </w:tc>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José Jaimes Ortiz</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w:t>
            </w:r>
          </w:p>
        </w:tc>
        <w:tc>
          <w:tcPr>
            <w:tcBorders>
              <w:right w:color="000000" w:space="0" w:sz="4" w:val="single"/>
            </w:tcBorders>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DIRECCIÓN DEL SOLICITANTE:</w:t>
            </w:r>
          </w:p>
        </w:tc>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Sistemas.</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SISTEMAS QUE AFECTA:</w:t>
            </w:r>
          </w:p>
        </w:tc>
        <w:tc>
          <w:tcPr>
            <w:tcBorders>
              <w:right w:color="000000" w:space="0" w:sz="4" w:val="single"/>
            </w:tcBorders>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t xml:space="preserve">SPEI</w:t>
            </w:r>
            <w:r w:rsidDel="00000000" w:rsidR="00000000" w:rsidRPr="00000000">
              <w:rPr>
                <w:rtl w:val="0"/>
              </w:rPr>
            </w:r>
          </w:p>
        </w:tc>
      </w:tr>
      <w:tr>
        <w:trPr>
          <w:cantSplit w:val="0"/>
          <w:tblHeader w:val="0"/>
        </w:trPr>
        <w:tc>
          <w:tcPr>
            <w:tcBorders>
              <w:left w:color="00000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ELABORÓ: </w:t>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t xml:space="preserve">Jaime Izquierdo Tapia</w:t>
            </w:r>
            <w:r w:rsidDel="00000000" w:rsidR="00000000" w:rsidRPr="00000000">
              <w:rPr>
                <w:rtl w:val="0"/>
              </w:rPr>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MÓDULOS:</w:t>
            </w:r>
          </w:p>
        </w:tc>
        <w:tc>
          <w:tcPr>
            <w:tcBorders>
              <w:right w:color="000000" w:space="0" w:sz="4" w:val="single"/>
            </w:tcBorders>
            <w:vAlign w:val="center"/>
          </w:tcPr>
          <w:p w:rsidR="00000000" w:rsidDel="00000000" w:rsidP="00000000" w:rsidRDefault="00000000" w:rsidRPr="00000000" w14:paraId="00000012">
            <w:pPr>
              <w:spacing w:after="0" w:before="0" w:lineRule="auto"/>
              <w:rPr>
                <w:color w:val="000000"/>
              </w:rPr>
            </w:pPr>
            <w:r w:rsidDel="00000000" w:rsidR="00000000" w:rsidRPr="00000000">
              <w:rPr>
                <w:color w:val="000000"/>
                <w:rtl w:val="0"/>
              </w:rPr>
              <w:t xml:space="preserve">SmartVista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ELABORACIÓN:</w:t>
            </w:r>
          </w:p>
        </w:tc>
        <w:tc>
          <w:tcPr>
            <w:tcBorders>
              <w:bottom w:color="000000" w:space="0" w:sz="4" w:val="single"/>
            </w:tcBorders>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t xml:space="preserve">06</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de </w:t>
            </w:r>
            <w:r w:rsidDel="00000000" w:rsidR="00000000" w:rsidRPr="00000000">
              <w:rPr>
                <w:rtl w:val="0"/>
              </w:rPr>
              <w:t xml:space="preserve">noviembre</w: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tl w:val="0"/>
              </w:rPr>
              <w:t xml:space="preserve"> del 2023</w:t>
            </w:r>
          </w:p>
        </w:tc>
        <w:tc>
          <w:tcPr>
            <w:tcBorders>
              <w:bottom w:color="000000" w:space="0" w:sz="4" w:val="single"/>
            </w:tcBorders>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8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COMPLEJIDAD:</w:t>
            </w:r>
          </w:p>
        </w:tc>
        <w:tc>
          <w:tcPr>
            <w:tcBorders>
              <w:bottom w:color="000000" w:space="0" w:sz="4" w:val="single"/>
              <w:right w:color="000000" w:space="0" w:sz="4"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BAJA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MEDIA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ALTA</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r>
    </w:tbl>
    <w:p w:rsidR="00000000" w:rsidDel="00000000" w:rsidP="00000000" w:rsidRDefault="00000000" w:rsidRPr="00000000" w14:paraId="00000017">
      <w:pPr>
        <w:pStyle w:val="Heading1"/>
        <w:pBdr>
          <w:bottom w:color="000000" w:space="1" w:sz="4" w:val="single"/>
        </w:pBdr>
        <w:spacing w:after="0" w:before="0" w:lineRule="auto"/>
        <w:ind w:left="284" w:hanging="284"/>
        <w:rPr>
          <w:smallCaps w:val="0"/>
          <w:sz w:val="24"/>
          <w:szCs w:val="24"/>
        </w:rPr>
      </w:pPr>
      <w:r w:rsidDel="00000000" w:rsidR="00000000" w:rsidRPr="00000000">
        <w:rPr>
          <w:rtl w:val="0"/>
        </w:rPr>
      </w:r>
    </w:p>
    <w:p w:rsidR="00000000" w:rsidDel="00000000" w:rsidP="00000000" w:rsidRDefault="00000000" w:rsidRPr="00000000" w14:paraId="00000018">
      <w:pPr>
        <w:pStyle w:val="Heading1"/>
        <w:pBdr>
          <w:bottom w:color="000000" w:space="1" w:sz="4" w:val="single"/>
        </w:pBdr>
        <w:spacing w:after="0" w:before="0" w:lineRule="auto"/>
        <w:ind w:left="284" w:hanging="284"/>
        <w:rPr>
          <w:smallCaps w:val="0"/>
          <w:sz w:val="24"/>
          <w:szCs w:val="24"/>
        </w:rPr>
      </w:pPr>
      <w:r w:rsidDel="00000000" w:rsidR="00000000" w:rsidRPr="00000000">
        <w:rPr>
          <w:smallCaps w:val="0"/>
          <w:sz w:val="24"/>
          <w:szCs w:val="24"/>
          <w:rtl w:val="0"/>
        </w:rPr>
        <w:t xml:space="preserve">Involucrados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81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83"/>
        <w:gridCol w:w="2006"/>
        <w:gridCol w:w="3261"/>
        <w:gridCol w:w="1289"/>
        <w:gridCol w:w="1372"/>
        <w:tblGridChange w:id="0">
          <w:tblGrid>
            <w:gridCol w:w="1883"/>
            <w:gridCol w:w="2006"/>
            <w:gridCol w:w="3261"/>
            <w:gridCol w:w="1289"/>
            <w:gridCol w:w="1372"/>
          </w:tblGrid>
        </w:tblGridChange>
      </w:tblGrid>
      <w:tr>
        <w:trPr>
          <w:cantSplit w:val="0"/>
          <w:trHeight w:val="850" w:hRule="atLeast"/>
          <w:tblHeader w:val="0"/>
        </w:trPr>
        <w:tc>
          <w:tcP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Área</w:t>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Representante</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Responsabilidades</w:t>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Firma</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Fecha</w:t>
            </w:r>
          </w:p>
        </w:tc>
      </w:tr>
      <w:tr>
        <w:trPr>
          <w:cantSplit w:val="0"/>
          <w:trHeight w:val="1064" w:hRule="atLeast"/>
          <w:tblHeader w:val="0"/>
        </w:trPr>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Fabrica de Productos Digitales</w:t>
            </w:r>
            <w:r w:rsidDel="00000000" w:rsidR="00000000" w:rsidRPr="00000000">
              <w:rPr>
                <w:rtl w:val="0"/>
              </w:rPr>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Marcela Zoraya Zetina Manrique</w:t>
            </w:r>
            <w:r w:rsidDel="00000000" w:rsidR="00000000" w:rsidRPr="00000000">
              <w:rPr>
                <w:rtl w:val="0"/>
              </w:rPr>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Directora de desarrollo</w:t>
            </w:r>
            <w:r w:rsidDel="00000000" w:rsidR="00000000" w:rsidRPr="00000000">
              <w:rPr>
                <w:rtl w:val="0"/>
              </w:rPr>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032" w:hRule="atLeast"/>
          <w:tblHeader w:val="0"/>
        </w:trPr>
        <w:tc>
          <w:tcPr>
            <w:vAlign w:val="center"/>
          </w:tcPr>
          <w:p w:rsidR="00000000" w:rsidDel="00000000" w:rsidP="00000000" w:rsidRDefault="00000000" w:rsidRPr="00000000" w14:paraId="00000024">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Ejecución</w:t>
            </w:r>
          </w:p>
        </w:tc>
        <w:tc>
          <w:tcPr>
            <w:vAlign w:val="center"/>
          </w:tcPr>
          <w:p w:rsidR="00000000" w:rsidDel="00000000" w:rsidP="00000000" w:rsidRDefault="00000000" w:rsidRPr="00000000" w14:paraId="00000025">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Caroline Peinmin Su </w:t>
            </w:r>
          </w:p>
        </w:tc>
        <w:tc>
          <w:tcPr>
            <w:vAlign w:val="center"/>
          </w:tcPr>
          <w:p w:rsidR="00000000" w:rsidDel="00000000" w:rsidP="00000000" w:rsidRDefault="00000000" w:rsidRPr="00000000" w14:paraId="00000026">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Directora del programa</w:t>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9">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CMS</w:t>
            </w:r>
          </w:p>
        </w:tc>
        <w:tc>
          <w:tcPr>
            <w:vAlign w:val="center"/>
          </w:tcPr>
          <w:p w:rsidR="00000000" w:rsidDel="00000000" w:rsidP="00000000" w:rsidRDefault="00000000" w:rsidRPr="00000000" w14:paraId="0000002A">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José Jaimes Ortiz</w:t>
            </w:r>
          </w:p>
        </w:tc>
        <w:tc>
          <w:tcPr>
            <w:vAlign w:val="center"/>
          </w:tcPr>
          <w:p w:rsidR="00000000" w:rsidDel="00000000" w:rsidP="00000000" w:rsidRDefault="00000000" w:rsidRPr="00000000" w14:paraId="0000002B">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 Iniciativa</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2E">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SPEI</w:t>
            </w:r>
          </w:p>
        </w:tc>
        <w:tc>
          <w:tcPr>
            <w:vAlign w:val="center"/>
          </w:tcPr>
          <w:p w:rsidR="00000000" w:rsidDel="00000000" w:rsidP="00000000" w:rsidRDefault="00000000" w:rsidRPr="00000000" w14:paraId="0000002F">
            <w:pPr>
              <w:spacing w:after="0" w:lineRule="auto"/>
              <w:jc w:val="center"/>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0">
            <w:pPr>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Líder del canal</w:t>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sectPr>
          <w:headerReference r:id="rId6" w:type="default"/>
          <w:pgSz w:h="15840" w:w="12240" w:orient="portrait"/>
          <w:pgMar w:bottom="776" w:top="851" w:left="1134" w:right="1134" w:header="454" w:footer="720"/>
          <w:pgNumType w:start="1"/>
        </w:sectPr>
      </w:pPr>
      <w:r w:rsidDel="00000000" w:rsidR="00000000" w:rsidRPr="00000000">
        <w:rPr>
          <w:rtl w:val="0"/>
        </w:rPr>
      </w:r>
    </w:p>
    <w:p w:rsidR="00000000" w:rsidDel="00000000" w:rsidP="00000000" w:rsidRDefault="00000000" w:rsidRPr="00000000" w14:paraId="00000035">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Introducción.</w:t>
      </w:r>
    </w:p>
    <w:p w:rsidR="00000000" w:rsidDel="00000000" w:rsidP="00000000" w:rsidRDefault="00000000" w:rsidRPr="00000000" w14:paraId="00000036">
      <w:pPr>
        <w:pStyle w:val="Heading2"/>
        <w:spacing w:after="0" w:before="0" w:lineRule="auto"/>
        <w:ind w:left="578" w:hanging="578"/>
        <w:rPr>
          <w:b w:val="1"/>
          <w:bCs w:val="1"/>
          <w:i w:val="0"/>
          <w:iCs w:val="0"/>
          <w:sz w:val="24"/>
          <w:szCs w:val="24"/>
        </w:rPr>
      </w:pPr>
      <w:r w:rsidDel="00000000" w:rsidR="00000000" w:rsidRPr="00000000">
        <w:rPr>
          <w:b w:val="1"/>
          <w:bCs w:val="1"/>
          <w:i w:val="0"/>
          <w:iCs w:val="0"/>
          <w:sz w:val="24"/>
          <w:szCs w:val="24"/>
          <w:rtl w:val="0"/>
        </w:rPr>
        <w:t xml:space="preserve">Antecedentes.</w:t>
      </w:r>
    </w:p>
    <w:p w:rsidR="00000000" w:rsidDel="00000000" w:rsidP="00000000" w:rsidRDefault="00000000" w:rsidRPr="00000000" w14:paraId="00000037">
      <w:pPr>
        <w:spacing w:after="0" w:before="0" w:lineRule="auto"/>
        <w:ind w:firstLine="578"/>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after="0"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w:t>
      </w:r>
      <w:r w:rsidDel="00000000" w:rsidR="00000000" w:rsidRPr="00000000">
        <w:rPr>
          <w:rFonts w:ascii="Calibri" w:cs="Calibri" w:eastAsia="Calibri" w:hAnsi="Calibri"/>
          <w:b w:val="1"/>
          <w:bCs w:val="1"/>
          <w:sz w:val="24"/>
          <w:szCs w:val="24"/>
          <w:rtl w:val="0"/>
        </w:rPr>
        <w:t xml:space="preserve">Unity</w:t>
      </w:r>
      <w:r w:rsidDel="00000000" w:rsidR="00000000" w:rsidRPr="00000000">
        <w:rPr>
          <w:rFonts w:ascii="Calibri" w:cs="Calibri" w:eastAsia="Calibri" w:hAnsi="Calibri"/>
          <w:sz w:val="24"/>
          <w:szCs w:val="24"/>
          <w:rtl w:val="0"/>
        </w:rPr>
        <w:t xml:space="preserve"> tiene como visión evolucionar el ecosistema tecnológico considerando una diferente manera de implementar una nueva solución bancaria central que respalde las necesidades actuales y futuras de nuestros servicios financieros.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after="0" w:before="0" w:lineRule="auto"/>
        <w:rPr>
          <w:b w:val="1"/>
          <w:bCs w:val="1"/>
          <w:i w:val="0"/>
          <w:iCs w:val="0"/>
          <w:sz w:val="24"/>
          <w:szCs w:val="24"/>
        </w:rPr>
      </w:pPr>
      <w:r w:rsidDel="00000000" w:rsidR="00000000" w:rsidRPr="00000000">
        <w:rPr>
          <w:b w:val="1"/>
          <w:bCs w:val="1"/>
          <w:i w:val="0"/>
          <w:iCs w:val="0"/>
          <w:sz w:val="24"/>
          <w:szCs w:val="24"/>
          <w:rtl w:val="0"/>
        </w:rPr>
        <w:t xml:space="preserve">Propósito.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Conforme al requerimiento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sz w:val="24"/>
          <w:szCs w:val="24"/>
          <w:rtl w:val="0"/>
        </w:rPr>
        <w:t xml:space="preserve">El Tarjetahabiente (TH) solicita el pago de su tarjeta de crédito con cargo a su cuenta de captación.</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está</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considerado la creación, configuración y validación de un nuevo producto de Tarjeta de Crédito mediante la plataforma SmartVista (SV).</w:t>
      </w:r>
      <w:r w:rsidDel="00000000" w:rsidR="00000000" w:rsidRPr="00000000">
        <w:rPr>
          <w:rtl w:val="0"/>
        </w:rPr>
      </w:r>
    </w:p>
    <w:p w:rsidR="00000000" w:rsidDel="00000000" w:rsidP="00000000" w:rsidRDefault="00000000" w:rsidRPr="00000000" w14:paraId="0000003C">
      <w:pPr>
        <w:pStyle w:val="Heading1"/>
        <w:pBdr>
          <w:bottom w:color="000000" w:space="1" w:sz="4" w:val="single"/>
        </w:pBdr>
        <w:ind w:left="284" w:hanging="290"/>
        <w:rPr>
          <w:smallCaps w:val="0"/>
          <w:sz w:val="24"/>
          <w:szCs w:val="24"/>
        </w:rPr>
      </w:pPr>
      <w:r w:rsidDel="00000000" w:rsidR="00000000" w:rsidRPr="00000000">
        <w:rPr>
          <w:smallCaps w:val="0"/>
          <w:sz w:val="24"/>
          <w:szCs w:val="24"/>
          <w:rtl w:val="0"/>
        </w:rPr>
        <w:t xml:space="preserve">Mejoras / Modificaciones Solicitadas.</w:t>
      </w:r>
    </w:p>
    <w:tbl>
      <w:tblPr>
        <w:tblStyle w:val="Table3"/>
        <w:tblW w:w="10080.0" w:type="dxa"/>
        <w:jc w:val="left"/>
        <w:tblInd w:w="-6.999999999999993" w:type="dxa"/>
        <w:tblLayout w:type="fixed"/>
        <w:tblLook w:val="0400"/>
      </w:tblPr>
      <w:tblGrid>
        <w:gridCol w:w="1701"/>
        <w:gridCol w:w="8379"/>
        <w:tblGridChange w:id="0">
          <w:tblGrid>
            <w:gridCol w:w="1701"/>
            <w:gridCol w:w="8379"/>
          </w:tblGrid>
        </w:tblGridChange>
      </w:tblGrid>
      <w:tr>
        <w:trPr>
          <w:cantSplit w:val="0"/>
          <w:tblHeader w:val="0"/>
        </w:trPr>
        <w:tc>
          <w:tcPr/>
          <w:p w:rsidR="00000000" w:rsidDel="00000000" w:rsidP="00000000" w:rsidRDefault="00000000" w:rsidRPr="00000000" w14:paraId="0000003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NECESIDAD 1.  </w:t>
            </w:r>
          </w:p>
        </w:tc>
        <w:tc>
          <w:tcPr/>
          <w:p w:rsidR="00000000" w:rsidDel="00000000" w:rsidP="00000000" w:rsidRDefault="00000000" w:rsidRPr="00000000" w14:paraId="0000003E">
            <w:pPr>
              <w:tabs>
                <w:tab w:val="center" w:leader="none" w:pos="4252"/>
                <w:tab w:val="right" w:leader="none" w:pos="8504"/>
              </w:tabs>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sz w:val="24"/>
                <w:szCs w:val="24"/>
                <w:rtl w:val="0"/>
              </w:rPr>
              <w:t xml:space="preserve">El Tarjetahabiente (TH) solicita el pago de su tarjeta de crédito con cargo a su cuenta de captación</w:t>
            </w:r>
            <w:r w:rsidDel="00000000" w:rsidR="00000000" w:rsidRPr="00000000">
              <w:rPr>
                <w:rtl w:val="0"/>
              </w:rPr>
            </w:r>
          </w:p>
        </w:tc>
      </w:tr>
    </w:tbl>
    <w:p w:rsidR="00000000" w:rsidDel="00000000" w:rsidP="00000000" w:rsidRDefault="00000000" w:rsidRPr="00000000" w14:paraId="0000003F">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1</w:t>
      </w:r>
      <w:r w:rsidDel="00000000" w:rsidR="00000000" w:rsidRPr="00000000">
        <w:rPr>
          <w:rFonts w:ascii="Calibri" w:cs="Calibri" w:eastAsia="Calibri" w:hAnsi="Calibri"/>
          <w:sz w:val="24"/>
          <w:szCs w:val="24"/>
          <w:rtl w:val="0"/>
        </w:rPr>
        <w:t xml:space="preserve">. El cliente final (cuentahabiente) instruye desde su banca electrónica o aplicación móvil a su institución participante emisor los pagos que desea realizar. Esto se hace siguiendo rigurosos controles de seguridad como contraseñas, elementos dinámicos (tokens) y pruebas de posesión de dispositivos (como mensajes a teléfonos móviles pre registrados), entre otros.</w:t>
      </w:r>
    </w:p>
    <w:p w:rsidR="00000000" w:rsidDel="00000000" w:rsidP="00000000" w:rsidRDefault="00000000" w:rsidRPr="00000000" w14:paraId="00000040">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2</w:t>
      </w:r>
      <w:r w:rsidDel="00000000" w:rsidR="00000000" w:rsidRPr="00000000">
        <w:rPr>
          <w:rFonts w:ascii="Calibri" w:cs="Calibri" w:eastAsia="Calibri" w:hAnsi="Calibri"/>
          <w:sz w:val="24"/>
          <w:szCs w:val="24"/>
          <w:rtl w:val="0"/>
        </w:rPr>
        <w:t xml:space="preserve">. El participante emisor valida los elementos de seguridad de la instrucción y guarda evidencia de que realizó esta validación.</w:t>
      </w:r>
    </w:p>
    <w:p w:rsidR="00000000" w:rsidDel="00000000" w:rsidP="00000000" w:rsidRDefault="00000000" w:rsidRPr="00000000" w14:paraId="00000041">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3</w:t>
      </w:r>
      <w:r w:rsidDel="00000000" w:rsidR="00000000" w:rsidRPr="00000000">
        <w:rPr>
          <w:rFonts w:ascii="Calibri" w:cs="Calibri" w:eastAsia="Calibri" w:hAnsi="Calibri"/>
          <w:sz w:val="24"/>
          <w:szCs w:val="24"/>
          <w:rtl w:val="0"/>
        </w:rPr>
        <w:t xml:space="preserve">. El participante emisor prepara las instrucciones de sus clientes, les incluye elementos de seguridad adicionales (sujeto a la circular 14/2017), sobre los cuales únicamente ellos tienen el control, y los envían al SPEI del Banco de México. </w:t>
      </w:r>
    </w:p>
    <w:p w:rsidR="00000000" w:rsidDel="00000000" w:rsidP="00000000" w:rsidRDefault="00000000" w:rsidRPr="00000000" w14:paraId="00000042">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4</w:t>
      </w:r>
      <w:r w:rsidDel="00000000" w:rsidR="00000000" w:rsidRPr="00000000">
        <w:rPr>
          <w:rFonts w:ascii="Calibri" w:cs="Calibri" w:eastAsia="Calibri" w:hAnsi="Calibri"/>
          <w:sz w:val="24"/>
          <w:szCs w:val="24"/>
          <w:rtl w:val="0"/>
        </w:rPr>
        <w:t xml:space="preserve">. El Banco de México verifica las firmas electrónicas de los participantes, que dan certeza de la integridad de la instrucción de pago, y procede a su procesamiento y posterior liquidación al participante receptor del pago.</w:t>
      </w:r>
    </w:p>
    <w:p w:rsidR="00000000" w:rsidDel="00000000" w:rsidP="00000000" w:rsidRDefault="00000000" w:rsidRPr="00000000" w14:paraId="00000043">
      <w:pPr>
        <w:keepNext w:val="1"/>
        <w:spacing w:after="12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Característica 5</w:t>
      </w:r>
      <w:r w:rsidDel="00000000" w:rsidR="00000000" w:rsidRPr="00000000">
        <w:rPr>
          <w:rFonts w:ascii="Calibri" w:cs="Calibri" w:eastAsia="Calibri" w:hAnsi="Calibri"/>
          <w:sz w:val="24"/>
          <w:szCs w:val="24"/>
          <w:rtl w:val="0"/>
        </w:rPr>
        <w:t xml:space="preserve">. Se informa a los participantes involucrados en la transferencia de recursos de la liquidación y el participante receptor del pago acredita los fondos en la cuenta de su cliente y envía al Banco de México la información para generar el Comprobante Electrónico de Pago (CEP).</w:t>
      </w:r>
    </w:p>
    <w:p w:rsidR="00000000" w:rsidDel="00000000" w:rsidP="00000000" w:rsidRDefault="00000000" w:rsidRPr="00000000" w14:paraId="00000044">
      <w:pPr>
        <w:keepNext w:val="1"/>
        <w:spacing w:after="12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pStyle w:val="Heading1"/>
        <w:pBdr>
          <w:bottom w:color="000000" w:space="1" w:sz="4" w:val="single"/>
        </w:pBdr>
        <w:ind w:left="284" w:hanging="284"/>
        <w:rPr>
          <w:smallCaps w:val="0"/>
          <w:sz w:val="24"/>
          <w:szCs w:val="24"/>
        </w:rPr>
      </w:pPr>
      <w:r w:rsidDel="00000000" w:rsidR="00000000" w:rsidRPr="00000000">
        <w:rPr>
          <w:smallCaps w:val="0"/>
          <w:sz w:val="24"/>
          <w:szCs w:val="24"/>
          <w:rtl w:val="0"/>
        </w:rPr>
        <w:t xml:space="preserve">Precondiciones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1014.8031496062991"/>
        <w:jc w:val="both"/>
        <w:rPr>
          <w:rFonts w:ascii="Calibri" w:cs="Calibri" w:eastAsia="Calibri" w:hAnsi="Calibri"/>
          <w:u w:val="none"/>
        </w:rPr>
      </w:pPr>
      <w:r w:rsidDel="00000000" w:rsidR="00000000" w:rsidRPr="00000000">
        <w:rPr>
          <w:rFonts w:ascii="Calibri" w:cs="Calibri" w:eastAsia="Calibri" w:hAnsi="Calibri"/>
          <w:sz w:val="24"/>
          <w:szCs w:val="24"/>
          <w:rtl w:val="0"/>
        </w:rPr>
        <w:t xml:space="preserve">Tener una cuenta con algún participante del SPEI® con el servicio de envío de transferencias.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1014.8031496062991"/>
        <w:jc w:val="both"/>
        <w:rPr>
          <w:rFonts w:ascii="Calibri" w:cs="Calibri" w:eastAsia="Calibri" w:hAnsi="Calibri"/>
          <w:u w:val="none"/>
        </w:rPr>
      </w:pPr>
      <w:r w:rsidDel="00000000" w:rsidR="00000000" w:rsidRPr="00000000">
        <w:rPr>
          <w:rFonts w:ascii="Calibri" w:cs="Calibri" w:eastAsia="Calibri" w:hAnsi="Calibri"/>
          <w:sz w:val="24"/>
          <w:szCs w:val="24"/>
          <w:rtl w:val="0"/>
        </w:rPr>
        <w:t xml:space="preserve">Este servicio se solicita directamente con la institución financiera donde tienes tu cuenta de captación. </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1014.8031496062991"/>
        <w:jc w:val="both"/>
        <w:rPr>
          <w:rFonts w:ascii="Calibri" w:cs="Calibri" w:eastAsia="Calibri" w:hAnsi="Calibri"/>
          <w:u w:val="none"/>
        </w:rPr>
      </w:pPr>
      <w:r w:rsidDel="00000000" w:rsidR="00000000" w:rsidRPr="00000000">
        <w:rPr>
          <w:rFonts w:ascii="Calibri" w:cs="Calibri" w:eastAsia="Calibri" w:hAnsi="Calibri"/>
          <w:sz w:val="24"/>
          <w:szCs w:val="24"/>
          <w:rtl w:val="0"/>
        </w:rPr>
        <w:t xml:space="preserve">Conocer la Clave Básica Estandarizada (CLABE) de la cuenta (18 dígitos), el número de tarjeta de crédito (16 dígitos) o el número del teléfono celular (10 dígitos) asociado a la cuenta de la persona o empresa a la que le vas a pagar o transferir el dinero.</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1014.8031496062991"/>
        <w:jc w:val="both"/>
        <w:rPr>
          <w:rFonts w:ascii="Calibri" w:cs="Calibri" w:eastAsia="Calibri" w:hAnsi="Calibri"/>
          <w:u w:val="none"/>
        </w:rPr>
      </w:pPr>
      <w:r w:rsidDel="00000000" w:rsidR="00000000" w:rsidRPr="00000000">
        <w:rPr>
          <w:rFonts w:ascii="Calibri" w:cs="Calibri" w:eastAsia="Calibri" w:hAnsi="Calibri"/>
          <w:sz w:val="24"/>
          <w:szCs w:val="24"/>
          <w:rtl w:val="0"/>
        </w:rPr>
        <w:t xml:space="preserve">Por seguridad, el servicio de envío de transferencias de las entidades financieras podrían solicitar dar de alta previamente la cuenta que recibirá el pago, la cual puede usarse después de cierto tiempo.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1014.8031496062991"/>
        <w:jc w:val="both"/>
        <w:rPr>
          <w:rFonts w:ascii="Calibri" w:cs="Calibri" w:eastAsia="Calibri" w:hAnsi="Calibri"/>
          <w:u w:val="none"/>
        </w:rPr>
      </w:pPr>
      <w:r w:rsidDel="00000000" w:rsidR="00000000" w:rsidRPr="00000000">
        <w:rPr>
          <w:rFonts w:ascii="Calibri" w:cs="Calibri" w:eastAsia="Calibri" w:hAnsi="Calibri"/>
          <w:sz w:val="24"/>
          <w:szCs w:val="24"/>
          <w:rtl w:val="0"/>
        </w:rPr>
        <w:t xml:space="preserve">Para operaciones por montos menores a 1,500 UDIS, los tiempos de procesamiento son reducidos y en muchos casos el registro de la cuenta beneficiaria se simplifica. </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Calibri" w:cs="Calibri" w:eastAsia="Calibri" w:hAnsi="Calibri"/>
        </w:rPr>
      </w:pPr>
      <w:r w:rsidDel="00000000" w:rsidR="00000000" w:rsidRPr="00000000">
        <w:rPr>
          <w:rtl w:val="0"/>
        </w:rPr>
      </w:r>
    </w:p>
    <w:p w:rsidR="00000000" w:rsidDel="00000000" w:rsidP="00000000" w:rsidRDefault="00000000" w:rsidRPr="00000000" w14:paraId="0000004C">
      <w:pPr>
        <w:pStyle w:val="Heading1"/>
        <w:pBdr>
          <w:bottom w:color="000000" w:space="1" w:sz="4" w:val="single"/>
        </w:pBdr>
        <w:ind w:left="284"/>
        <w:rPr>
          <w:smallCaps w:val="0"/>
          <w:sz w:val="24"/>
          <w:szCs w:val="24"/>
        </w:rPr>
      </w:pPr>
      <w:bookmarkStart w:colFirst="0" w:colLast="0" w:name="_ekouo3e7fjbb" w:id="0"/>
      <w:bookmarkEnd w:id="0"/>
      <w:r w:rsidDel="00000000" w:rsidR="00000000" w:rsidRPr="00000000">
        <w:rPr>
          <w:smallCaps w:val="0"/>
          <w:sz w:val="24"/>
          <w:szCs w:val="24"/>
          <w:rtl w:val="0"/>
        </w:rPr>
        <w:t xml:space="preserve">Referencias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1014.8031496062991"/>
        <w:jc w:val="both"/>
        <w:rPr>
          <w:rFonts w:ascii="Calibri" w:cs="Calibri" w:eastAsia="Calibri" w:hAnsi="Calibri"/>
          <w:u w:val="none"/>
        </w:rPr>
      </w:pPr>
      <w:r w:rsidDel="00000000" w:rsidR="00000000" w:rsidRPr="00000000">
        <w:rPr>
          <w:rFonts w:ascii="Calibri" w:cs="Calibri" w:eastAsia="Calibri" w:hAnsi="Calibri"/>
          <w:sz w:val="24"/>
          <w:szCs w:val="24"/>
          <w:rtl w:val="0"/>
        </w:rPr>
        <w:t xml:space="preserve">No existe una referencia en el documento BanCoppel-</w:t>
      </w:r>
      <w:r w:rsidDel="00000000" w:rsidR="00000000" w:rsidRPr="00000000">
        <w:rPr>
          <w:rFonts w:ascii="Calibri" w:cs="Calibri" w:eastAsia="Calibri" w:hAnsi="Calibri"/>
          <w:sz w:val="24"/>
          <w:szCs w:val="24"/>
          <w:rtl w:val="0"/>
        </w:rPr>
        <w:t xml:space="preserve">FSD0107</w:t>
      </w:r>
      <w:r w:rsidDel="00000000" w:rsidR="00000000" w:rsidRPr="00000000">
        <w:rPr>
          <w:rtl w:val="0"/>
        </w:rPr>
      </w:r>
    </w:p>
    <w:sectPr>
      <w:footerReference r:id="rId7" w:type="default"/>
      <w:type w:val="nextPage"/>
      <w:pgSz w:h="15840" w:w="12240" w:orient="portrait"/>
      <w:pgMar w:bottom="776" w:top="851" w:left="1134" w:right="1134" w:header="709"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1657350</wp:posOffset>
          </wp:positionH>
          <wp:positionV relativeFrom="paragraph">
            <wp:posOffset>84373</wp:posOffset>
          </wp:positionV>
          <wp:extent cx="2787650" cy="54864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87650" cy="548640"/>
                  </a:xfrm>
                  <a:prstGeom prst="rect"/>
                  <a:ln/>
                </pic:spPr>
              </pic:pic>
            </a:graphicData>
          </a:graphic>
        </wp:anchor>
      </w:drawing>
    </w:r>
  </w:p>
  <w:tbl>
    <w:tblPr>
      <w:tblStyle w:val="Table4"/>
      <w:tblW w:w="10112.0" w:type="dxa"/>
      <w:jc w:val="left"/>
      <w:tblInd w:w="-115.0" w:type="dxa"/>
      <w:tblLayout w:type="fixed"/>
      <w:tblLook w:val="0400"/>
    </w:tblPr>
    <w:tblGrid>
      <w:gridCol w:w="5778"/>
      <w:gridCol w:w="4334"/>
      <w:tblGridChange w:id="0">
        <w:tblGrid>
          <w:gridCol w:w="5778"/>
          <w:gridCol w:w="4334"/>
        </w:tblGrid>
      </w:tblGridChange>
    </w:tblGrid>
    <w:tr>
      <w:trPr>
        <w:cantSplit w:val="0"/>
        <w:trHeight w:val="996" w:hRule="atLeast"/>
        <w:tblHeader w:val="0"/>
      </w:trPr>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bottom"/>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righ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60" w:before="12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lang w:val="es-MX"/>
      </w:rPr>
    </w:rPrDefault>
    <w:pPrDefault>
      <w:pPr>
        <w:spacing w:after="6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432" w:hanging="432"/>
      <w:jc w:val="both"/>
    </w:pPr>
    <w:rPr>
      <w:rFonts w:ascii="Calibri" w:cs="Calibri" w:eastAsia="Calibri" w:hAnsi="Calibri"/>
      <w:b w:val="1"/>
      <w:bCs w:val="1"/>
      <w:smallCaps w:val="1"/>
      <w:sz w:val="28"/>
      <w:szCs w:val="28"/>
    </w:rPr>
  </w:style>
  <w:style w:type="paragraph" w:styleId="Heading2">
    <w:name w:val="heading 2"/>
    <w:basedOn w:val="Normal"/>
    <w:next w:val="Normal"/>
    <w:pPr>
      <w:keepNext w:val="1"/>
      <w:spacing w:after="120" w:before="240" w:lineRule="auto"/>
      <w:ind w:left="576" w:hanging="576"/>
      <w:jc w:val="both"/>
    </w:pPr>
    <w:rPr>
      <w:rFonts w:ascii="Calibri" w:cs="Calibri" w:eastAsia="Calibri" w:hAnsi="Calibri"/>
      <w:i w:val="1"/>
      <w:iCs w:val="1"/>
      <w:sz w:val="22"/>
      <w:szCs w:val="22"/>
    </w:rPr>
  </w:style>
  <w:style w:type="paragraph" w:styleId="Heading3">
    <w:name w:val="heading 3"/>
    <w:basedOn w:val="Normal"/>
    <w:next w:val="Normal"/>
    <w:pPr>
      <w:keepNext w:val="1"/>
      <w:spacing w:before="240" w:lineRule="auto"/>
      <w:ind w:left="720" w:hanging="720"/>
    </w:pPr>
    <w:rPr>
      <w:rFonts w:ascii="Calibri" w:cs="Calibri" w:eastAsia="Calibri" w:hAnsi="Calibri"/>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before="240" w:lineRule="auto"/>
      <w:ind w:left="1152" w:hanging="1152"/>
    </w:pPr>
    <w:rPr>
      <w:rFonts w:ascii="Calibri" w:cs="Calibri" w:eastAsia="Calibri" w:hAnsi="Calibri"/>
      <w:b w:val="1"/>
      <w:bCs w:val="1"/>
      <w:sz w:val="22"/>
      <w:szCs w:val="22"/>
    </w:rPr>
  </w:style>
  <w:style w:type="paragraph" w:styleId="Title">
    <w:name w:val="Title"/>
    <w:basedOn w:val="Normal"/>
    <w:next w:val="Normal"/>
    <w:pPr>
      <w:spacing w:before="240" w:lineRule="auto"/>
      <w:jc w:val="right"/>
    </w:pPr>
    <w:rPr>
      <w:rFonts w:ascii="Calibri" w:cs="Calibri" w:eastAsia="Calibri" w:hAnsi="Calibri"/>
      <w:sz w:val="28"/>
      <w:szCs w:val="28"/>
    </w:rPr>
  </w:style>
  <w:style w:type="paragraph" w:styleId="Subtitle">
    <w:name w:val="Subtitle"/>
    <w:basedOn w:val="Normal"/>
    <w:next w:val="Normal"/>
    <w:pPr>
      <w:keepNext w:val="1"/>
      <w:spacing w:after="120" w:before="240" w:lineRule="auto"/>
      <w:jc w:val="center"/>
    </w:pPr>
    <w:rPr>
      <w:rFonts w:ascii="Arial" w:cs="Arial" w:eastAsia="Arial" w:hAnsi="Arial"/>
      <w:i w:val="1"/>
      <w:iCs w:val="1"/>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eader" Target="header1.xml"/><Relationship Id="rId5"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numbering" Target="numbering.xml"/><Relationship Id="rId9" Type="http://schemas.openxmlformats.org/officeDocument/2006/relationships/customXml" Target="../customXml/item2.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2648767ADDAC4198CE9FAE936A0E2E" ma:contentTypeVersion="10" ma:contentTypeDescription="Create a new document." ma:contentTypeScope="" ma:versionID="bfce7f8d432cf4f2b54d649024185cc8">
  <xsd:schema xmlns:xsd="http://www.w3.org/2001/XMLSchema" xmlns:xs="http://www.w3.org/2001/XMLSchema" xmlns:p="http://schemas.microsoft.com/office/2006/metadata/properties" xmlns:ns2="bcf21e1d-e7b2-4ba8-bb72-ca5e3ff425f9" targetNamespace="http://schemas.microsoft.com/office/2006/metadata/properties" ma:root="true" ma:fieldsID="db0e3ff7a073da1765cf4c642dfd2d3e"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05565E2E-BB06-4A10-ABC6-97EF6A571354}"/>
</file>

<file path=customXml/itemProps2.xml><?xml version="1.0" encoding="utf-8"?>
<ds:datastoreItem xmlns:ds="http://schemas.openxmlformats.org/officeDocument/2006/customXml" ds:itemID="{EA3166FF-909A-42B2-8B61-A29604EF6422}"/>
</file>

<file path=customXml/itemProps3.xml><?xml version="1.0" encoding="utf-8"?>
<ds:datastoreItem xmlns:ds="http://schemas.openxmlformats.org/officeDocument/2006/customXml" ds:itemID="{6F76C2FD-2CAB-4EF0-809E-73D8670A05B3}"/>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