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36"/>
          <w:szCs w:val="36"/>
        </w:rPr>
        <w:t xml:space="preserve">UNITY | FASE REINGENIERÍA</w:t>
      </w:r>
    </w:p>
    <w:p>
      <w:pPr>
        <w:spacing w:after="40" w:before="0"/>
        <w:jc w:val="center"/>
      </w:pPr>
      <w:r>
        <w:rPr>
          <w:rFonts w:ascii="Calibri" w:cs="Calibri" w:eastAsia="Calibri" w:hAnsi="Calibri"/>
          <w:b/>
          <w:bCs/>
          <w:color w:val="2E5DAA"/>
          <w:sz w:val="26"/>
          <w:szCs w:val="26"/>
        </w:rPr>
        <w:t xml:space="preserve">Observaciones y Requerimientos de Pablo Madinaveitia</w:t>
      </w:r>
    </w:p>
    <w:p>
      <w:pPr>
        <w:spacing w:after="200" w:before="0"/>
        <w:jc w:val="center"/>
      </w:pPr>
      <w:r>
        <w:rPr>
          <w:rFonts w:ascii="Calibri" w:cs="Calibri" w:eastAsia="Calibri" w:hAnsi="Calibri"/>
          <w:i/>
          <w:iCs/>
          <w:color w:val="888888"/>
          <w:sz w:val="20"/>
          <w:szCs w:val="20"/>
        </w:rPr>
        <w:t xml:space="preserve">Track de Arquitectura  •  Weekly Status  •  28 julio 2026</w:t>
      </w:r>
    </w:p>
    <w:p>
      <w:pPr>
        <w:pBdr>
          <w:bottom w:val="single" w:color="2E5DAA" w:sz="6"/>
        </w:pBdr>
        <w:spacing w:after="40" w:before="40"/>
      </w:pPr>
    </w:p>
    <w:p>
      <w:pPr>
        <w:spacing w:after="80" w:before="1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c>
          <w:tcPr>
            <w:tcW w:type="dxa" w:w="2200"/>
            <w:shd w:fill="D6E4F7" w:color="D6E4F7" w:val="clear"/>
            <w:tcMar>
              <w:top w:type="dxa" w:w="60"/>
              <w:left w:type="dxa" w:w="120"/>
              <w:bottom w:type="dxa" w:w="60"/>
              <w:right w:type="dxa" w:w="60"/>
            </w:tcMar>
          </w:tcPr>
          <w:p>
            <w:r>
              <w:rPr>
                <w:rFonts w:ascii="Calibri" w:cs="Calibri" w:eastAsia="Calibri" w:hAnsi="Calibri"/>
                <w:b/>
                <w:bCs/>
                <w:color w:val="1F3864"/>
                <w:sz w:val="20"/>
                <w:szCs w:val="20"/>
              </w:rPr>
              <w:t xml:space="preserve">Reunión</w:t>
            </w:r>
          </w:p>
        </w:tc>
        <w:tc>
          <w:tcPr>
            <w:tcW w:type="dxa" w:w="5800"/>
            <w:tcMar>
              <w:top w:type="dxa" w:w="60"/>
              <w:left w:type="dxa" w:w="120"/>
              <w:bottom w:type="dxa" w:w="60"/>
              <w:right w:type="dxa" w:w="60"/>
            </w:tcMar>
          </w:tcPr>
          <w:p>
            <w:r>
              <w:rPr>
                <w:rFonts w:ascii="Calibri" w:cs="Calibri" w:eastAsia="Calibri" w:hAnsi="Calibri"/>
                <w:color w:val="444444"/>
                <w:sz w:val="20"/>
                <w:szCs w:val="20"/>
              </w:rPr>
              <w:t xml:space="preserve">Unity | Fase Reingeniería — Weekly Status</w:t>
            </w:r>
          </w:p>
        </w:tc>
      </w:tr>
      <w:tr>
        <w:tc>
          <w:tcPr>
            <w:tcW w:type="dxa" w:w="2200"/>
            <w:shd w:fill="D6E4F7" w:color="D6E4F7" w:val="clear"/>
            <w:tcMar>
              <w:top w:type="dxa" w:w="60"/>
              <w:left w:type="dxa" w:w="120"/>
              <w:bottom w:type="dxa" w:w="60"/>
              <w:right w:type="dxa" w:w="60"/>
            </w:tcMar>
          </w:tcPr>
          <w:p>
            <w:r>
              <w:rPr>
                <w:rFonts w:ascii="Calibri" w:cs="Calibri" w:eastAsia="Calibri" w:hAnsi="Calibri"/>
                <w:b/>
                <w:bCs/>
                <w:color w:val="1F3864"/>
                <w:sz w:val="20"/>
                <w:szCs w:val="20"/>
              </w:rPr>
              <w:t xml:space="preserve">Fecha</w:t>
            </w:r>
          </w:p>
        </w:tc>
        <w:tc>
          <w:tcPr>
            <w:tcW w:type="dxa" w:w="5800"/>
            <w:tcMar>
              <w:top w:type="dxa" w:w="60"/>
              <w:left w:type="dxa" w:w="120"/>
              <w:bottom w:type="dxa" w:w="60"/>
              <w:right w:type="dxa" w:w="60"/>
            </w:tcMar>
          </w:tcPr>
          <w:p>
            <w:r>
              <w:rPr>
                <w:rFonts w:ascii="Calibri" w:cs="Calibri" w:eastAsia="Calibri" w:hAnsi="Calibri"/>
                <w:color w:val="444444"/>
                <w:sz w:val="20"/>
                <w:szCs w:val="20"/>
              </w:rPr>
              <w:t xml:space="preserve">28 de julio de 2026</w:t>
            </w:r>
          </w:p>
        </w:tc>
      </w:tr>
      <w:tr>
        <w:tc>
          <w:tcPr>
            <w:tcW w:type="dxa" w:w="2200"/>
            <w:shd w:fill="D6E4F7" w:color="D6E4F7" w:val="clear"/>
            <w:tcMar>
              <w:top w:type="dxa" w:w="60"/>
              <w:left w:type="dxa" w:w="120"/>
              <w:bottom w:type="dxa" w:w="60"/>
              <w:right w:type="dxa" w:w="60"/>
            </w:tcMar>
          </w:tcPr>
          <w:p>
            <w:r>
              <w:rPr>
                <w:rFonts w:ascii="Calibri" w:cs="Calibri" w:eastAsia="Calibri" w:hAnsi="Calibri"/>
                <w:b/>
                <w:bCs/>
                <w:color w:val="1F3864"/>
                <w:sz w:val="20"/>
                <w:szCs w:val="20"/>
              </w:rPr>
              <w:t xml:space="preserve">Convocante</w:t>
            </w:r>
          </w:p>
        </w:tc>
        <w:tc>
          <w:tcPr>
            <w:tcW w:type="dxa" w:w="5800"/>
            <w:tcMar>
              <w:top w:type="dxa" w:w="60"/>
              <w:left w:type="dxa" w:w="120"/>
              <w:bottom w:type="dxa" w:w="60"/>
              <w:right w:type="dxa" w:w="60"/>
            </w:tcMar>
          </w:tcPr>
          <w:p>
            <w:r>
              <w:rPr>
                <w:rFonts w:ascii="Calibri" w:cs="Calibri" w:eastAsia="Calibri" w:hAnsi="Calibri"/>
                <w:color w:val="444444"/>
                <w:sz w:val="20"/>
                <w:szCs w:val="20"/>
              </w:rPr>
              <w:t xml:space="preserve">Pablo Madinaveitia Sánchez (Director de Transformación Digital)</w:t>
            </w:r>
          </w:p>
        </w:tc>
      </w:tr>
      <w:tr>
        <w:tc>
          <w:tcPr>
            <w:tcW w:type="dxa" w:w="2200"/>
            <w:shd w:fill="D6E4F7" w:color="D6E4F7" w:val="clear"/>
            <w:tcMar>
              <w:top w:type="dxa" w:w="60"/>
              <w:left w:type="dxa" w:w="120"/>
              <w:bottom w:type="dxa" w:w="60"/>
              <w:right w:type="dxa" w:w="60"/>
            </w:tcMar>
          </w:tcPr>
          <w:p>
            <w:r>
              <w:rPr>
                <w:rFonts w:ascii="Calibri" w:cs="Calibri" w:eastAsia="Calibri" w:hAnsi="Calibri"/>
                <w:b/>
                <w:bCs/>
                <w:color w:val="1F3864"/>
                <w:sz w:val="20"/>
                <w:szCs w:val="20"/>
              </w:rPr>
              <w:t xml:space="preserve">Asistentes clave</w:t>
            </w:r>
          </w:p>
        </w:tc>
        <w:tc>
          <w:tcPr>
            <w:tcW w:type="dxa" w:w="5800"/>
            <w:tcMar>
              <w:top w:type="dxa" w:w="60"/>
              <w:left w:type="dxa" w:w="120"/>
              <w:bottom w:type="dxa" w:w="60"/>
              <w:right w:type="dxa" w:w="60"/>
            </w:tcMar>
          </w:tcPr>
          <w:p>
            <w:r>
              <w:rPr>
                <w:rFonts w:ascii="Calibri" w:cs="Calibri" w:eastAsia="Calibri" w:hAnsi="Calibri"/>
                <w:color w:val="444444"/>
                <w:sz w:val="20"/>
                <w:szCs w:val="20"/>
              </w:rPr>
              <w:t xml:space="preserve">Alejandro Alonso, Rui V., Ana Cristina Cervantes, Joaquin Pichardo, Rodrigo Kennedy, Ricardo González, Daniela Morales</w:t>
            </w:r>
          </w:p>
        </w:tc>
      </w:tr>
      <w:tr>
        <w:tc>
          <w:tcPr>
            <w:tcW w:type="dxa" w:w="2200"/>
            <w:shd w:fill="D6E4F7" w:color="D6E4F7" w:val="clear"/>
            <w:tcMar>
              <w:top w:type="dxa" w:w="60"/>
              <w:left w:type="dxa" w:w="120"/>
              <w:bottom w:type="dxa" w:w="60"/>
              <w:right w:type="dxa" w:w="60"/>
            </w:tcMar>
          </w:tcPr>
          <w:p>
            <w:r>
              <w:rPr>
                <w:rFonts w:ascii="Calibri" w:cs="Calibri" w:eastAsia="Calibri" w:hAnsi="Calibri"/>
                <w:b/>
                <w:bCs/>
                <w:color w:val="1F3864"/>
                <w:sz w:val="20"/>
                <w:szCs w:val="20"/>
              </w:rPr>
              <w:t xml:space="preserve">Elaborado por</w:t>
            </w:r>
          </w:p>
        </w:tc>
        <w:tc>
          <w:tcPr>
            <w:tcW w:type="dxa" w:w="5800"/>
            <w:tcMar>
              <w:top w:type="dxa" w:w="60"/>
              <w:left w:type="dxa" w:w="120"/>
              <w:bottom w:type="dxa" w:w="60"/>
              <w:right w:type="dxa" w:w="60"/>
            </w:tcMar>
          </w:tcPr>
          <w:p>
            <w:r>
              <w:rPr>
                <w:rFonts w:ascii="Calibri" w:cs="Calibri" w:eastAsia="Calibri" w:hAnsi="Calibri"/>
                <w:color w:val="444444"/>
                <w:sz w:val="20"/>
                <w:szCs w:val="20"/>
              </w:rPr>
              <w:t xml:space="preserve">Track de Arquitectura — Accenture</w:t>
            </w:r>
          </w:p>
        </w:tc>
      </w:tr>
      <w:tr>
        <w:tc>
          <w:tcPr>
            <w:tcW w:type="dxa" w:w="2200"/>
            <w:shd w:fill="D6E4F7" w:color="D6E4F7" w:val="clear"/>
            <w:tcMar>
              <w:top w:type="dxa" w:w="60"/>
              <w:left w:type="dxa" w:w="120"/>
              <w:bottom w:type="dxa" w:w="60"/>
              <w:right w:type="dxa" w:w="60"/>
            </w:tcMar>
          </w:tcPr>
          <w:p>
            <w:r>
              <w:rPr>
                <w:rFonts w:ascii="Calibri" w:cs="Calibri" w:eastAsia="Calibri" w:hAnsi="Calibri"/>
                <w:b/>
                <w:bCs/>
                <w:color w:val="1F3864"/>
                <w:sz w:val="20"/>
                <w:szCs w:val="20"/>
              </w:rPr>
              <w:t xml:space="preserve">Alcance de este doc</w:t>
            </w:r>
          </w:p>
        </w:tc>
        <w:tc>
          <w:tcPr>
            <w:tcW w:type="dxa" w:w="5800"/>
            <w:tcMar>
              <w:top w:type="dxa" w:w="60"/>
              <w:left w:type="dxa" w:w="120"/>
              <w:bottom w:type="dxa" w:w="60"/>
              <w:right w:type="dxa" w:w="60"/>
            </w:tcMar>
          </w:tcPr>
          <w:p>
            <w:r>
              <w:rPr>
                <w:rFonts w:ascii="Calibri" w:cs="Calibri" w:eastAsia="Calibri" w:hAnsi="Calibri"/>
                <w:color w:val="444444"/>
                <w:sz w:val="20"/>
                <w:szCs w:val="20"/>
              </w:rPr>
              <w:t xml:space="preserve">Observaciones, comentarios y requerimientos de Pablo sobre el Track de Arquitectura</w:t>
            </w:r>
          </w:p>
        </w:tc>
      </w:tr>
    </w:tbl>
    <w:p>
      <w:pPr>
        <w:spacing w:after="0" w:before="120"/>
      </w:pPr>
    </w:p>
    <w:p>
      <w:pPr>
        <w:pBdr>
          <w:bottom w:val="single" w:color="2E5DAA" w:sz="6"/>
        </w:pBdr>
        <w:spacing w:after="40" w:before="40"/>
      </w:pPr>
    </w:p>
    <w:p>
      <w:pPr>
        <w:shd w:fill="1F3864" w:color="1F3864" w:val="clear"/>
        <w:spacing w:after="120" w:before="240"/>
        <w:ind w:left="144" w:right="144"/>
      </w:pPr>
      <w:r>
        <w:rPr>
          <w:rFonts w:ascii="Calibri" w:cs="Calibri" w:eastAsia="Calibri" w:hAnsi="Calibri"/>
          <w:b/>
          <w:bCs/>
          <w:color w:val="FFFFFF"/>
          <w:sz w:val="26"/>
          <w:szCs w:val="26"/>
        </w:rPr>
        <w:t xml:space="preserve">  CONTEXTO DE LA SESIÓN</w:t>
      </w:r>
    </w:p>
    <w:p>
      <w:pPr>
        <w:spacing w:after="60" w:before="60"/>
      </w:pPr>
      <w:r>
        <w:rPr>
          <w:rFonts w:ascii="Calibri" w:cs="Calibri" w:eastAsia="Calibri" w:hAnsi="Calibri"/>
          <w:color w:val="444444"/>
          <w:sz w:val="20"/>
          <w:szCs w:val="20"/>
        </w:rPr>
        <w:t xml:space="preserve">La reunión corresponde al Weekly Status de la semana 4 del plan de reingeniería de 10 semanas del programa Unity. El equipo de Accenture presentó el avance en los cuatro tracks de trabajo ante Pablo Madinaveitia, quien realizó observaciones sustanciales sobre el track de arquitectura. Este documento consolida exclusivamente esas observaciones para el equipo que no estuvo presente.</w:t>
      </w:r>
    </w:p>
    <w:p>
      <w:pPr>
        <w:spacing w:after="60" w:before="60"/>
      </w:pPr>
      <w:r>
        <w:rPr>
          <w:rFonts w:ascii="Calibri" w:cs="Calibri" w:eastAsia="Calibri" w:hAnsi="Calibri"/>
          <w:color w:val="444444"/>
          <w:sz w:val="20"/>
          <w:szCs w:val="20"/>
        </w:rPr>
        <w:t xml:space="preserve">Pablo intervino activamente en tres momentos de la sesión relacionados con arquitectura: al revisar el status del track, al profundizar en el tema del Design Authority, y al abordar el proceso de construcción de APIs e integraciones.</w:t>
      </w:r>
    </w:p>
    <w:p>
      <w:pPr>
        <w:shd w:fill="1F3864" w:color="1F3864" w:val="clear"/>
        <w:spacing w:after="120" w:before="240"/>
        <w:ind w:left="144" w:right="144"/>
      </w:pPr>
      <w:r>
        <w:rPr>
          <w:rFonts w:ascii="Calibri" w:cs="Calibri" w:eastAsia="Calibri" w:hAnsi="Calibri"/>
          <w:b/>
          <w:bCs/>
          <w:color w:val="FFFFFF"/>
          <w:sz w:val="26"/>
          <w:szCs w:val="26"/>
        </w:rPr>
        <w:t xml:space="preserve">  REQUERIMIENTOS Y OBSERVACIONES — DETALLE</w:t>
      </w:r>
    </w:p>
    <w:p>
      <w:pPr>
        <w:pBdr>
          <w:bottom w:val="single" w:color="2E5DAA" w:sz="4"/>
        </w:pBdr>
        <w:spacing w:after="80" w:before="200"/>
      </w:pPr>
      <w:r>
        <w:rPr>
          <w:rFonts w:ascii="Calibri" w:cs="Calibri" w:eastAsia="Calibri" w:hAnsi="Calibri"/>
          <w:b/>
          <w:bCs/>
          <w:color w:val="2E5DAA"/>
          <w:sz w:val="24"/>
          <w:szCs w:val="24"/>
        </w:rPr>
        <w:t xml:space="preserve">1.  Roadmap de Arquitectura con habilitación de componentes por Release</w:t>
      </w:r>
    </w:p>
    <w:p>
      <w:pPr>
        <w:spacing w:after="60" w:before="60"/>
      </w:pPr>
      <w:r>
        <w:rPr>
          <w:rFonts w:ascii="Calibri" w:cs="Calibri" w:eastAsia="Calibri" w:hAnsi="Calibri"/>
          <w:color w:val="444444"/>
          <w:sz w:val="20"/>
          <w:szCs w:val="20"/>
        </w:rPr>
        <w:t xml:space="preserve">Requerimiento principal y de mayor peso en toda la sesión. Pablo fue explícito: el programa necesita ver no solamente qué aplicaciones están sujetas a decomiso, sino cómo se van habilitando los componentes de arquitectura conforme avanzan los releases.</w:t>
      </w:r>
    </w:p>
    <w:p>
      <w:pPr>
        <w:spacing w:after="0" w:before="60"/>
      </w:pP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"No solamente me gustaría ver la arquitectura que está sujeta al decomiso, sino cómo vamos a ir habilitando componentes de arquitectura... hay componentes de la arquitectura que desde mi punto de vista todavía no están resueltos en el programa y que tendrían que estar considerados."</w:t>
      </w:r>
    </w:p>
    <w:p>
      <w:pPr>
        <w:spacing w:after="0" w:before="80"/>
      </w:pPr>
    </w:p>
    <w:p>
      <w:pPr>
        <w:spacing w:after="60" w:before="60"/>
      </w:pPr>
      <w:r>
        <w:rPr>
          <w:rFonts w:ascii="Calibri" w:cs="Calibri" w:eastAsia="Calibri" w:hAnsi="Calibri"/>
          <w:color w:val="444444"/>
          <w:sz w:val="20"/>
          <w:szCs w:val="20"/>
        </w:rPr>
        <w:t xml:space="preserve">El requerimiento concreto es un roadmap de arquitectura con nivel de detalle suficiente para:</w:t>
      </w:r>
    </w:p>
    <w:p>
      <w:pPr>
        <w:pStyle w:val="ListParagraph"/>
        <w:numPr>
          <w:ilvl w:val="0"/>
          <w:numId w:val="1"/>
        </w:numPr>
        <w:spacing w:after="40" w:before="40"/>
        <w:ind w:left="360"/>
      </w:pPr>
      <w:r>
        <w:rPr>
          <w:rFonts w:ascii="Calibri" w:cs="Calibri" w:eastAsia="Calibri" w:hAnsi="Calibri"/>
          <w:color w:val="444444"/>
          <w:sz w:val="20"/>
          <w:szCs w:val="20"/>
        </w:rPr>
        <w:t xml:space="preserve">Los releases del año en curso (R4 en adelante).</w:t>
      </w:r>
    </w:p>
    <w:p>
      <w:pPr>
        <w:pStyle w:val="ListParagraph"/>
        <w:numPr>
          <w:ilvl w:val="0"/>
          <w:numId w:val="1"/>
        </w:numPr>
        <w:spacing w:after="40" w:before="40"/>
        <w:ind w:left="360"/>
      </w:pPr>
      <w:r>
        <w:rPr>
          <w:rFonts w:ascii="Calibri" w:cs="Calibri" w:eastAsia="Calibri" w:hAnsi="Calibri"/>
          <w:color w:val="444444"/>
          <w:sz w:val="20"/>
          <w:szCs w:val="20"/>
        </w:rPr>
        <w:t xml:space="preserve">Los proyectos comprometidos para 2027.</w:t>
      </w:r>
    </w:p>
    <w:p>
      <w:pPr>
        <w:pStyle w:val="ListParagraph"/>
        <w:numPr>
          <w:ilvl w:val="0"/>
          <w:numId w:val="1"/>
        </w:numPr>
        <w:spacing w:after="40" w:before="40"/>
        <w:ind w:left="360"/>
      </w:pPr>
      <w:r>
        <w:rPr>
          <w:rFonts w:ascii="Calibri" w:cs="Calibri" w:eastAsia="Calibri" w:hAnsi="Calibri"/>
          <w:color w:val="444444"/>
          <w:sz w:val="20"/>
          <w:szCs w:val="20"/>
        </w:rPr>
        <w:t xml:space="preserve">Que responda: ¿qué componentes de arquitectura se consideran en cada release y en qué fecha estarán disponibles?</w:t>
      </w:r>
    </w:p>
    <w:p>
      <w:pPr>
        <w:spacing w:after="0" w:before="80"/>
      </w:pPr>
    </w:p>
    <w:p>
      <w:pPr>
        <w:spacing w:after="60" w:before="60"/>
      </w:pPr>
      <w:r>
        <w:rPr>
          <w:rFonts w:ascii="Calibri" w:cs="Calibri" w:eastAsia="Calibri" w:hAnsi="Calibri"/>
          <w:color w:val="444444"/>
          <w:sz w:val="20"/>
          <w:szCs w:val="20"/>
        </w:rPr>
        <w:t xml:space="preserve">Rui reafirmó la criticidad desde el lado de delivery:</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"For the next revision of the plan, I think we need to have a better picture on what that architecture looks like — do we have all the tools that we need for R4, R5, R6, R7? If not, what is the plan to have those tools?"</w:t>
      </w:r>
    </w:p>
    <w:p>
      <w:pPr>
        <w:spacing w:after="0" w:before="80"/>
      </w:pPr>
    </w:p>
    <w:p>
      <w:pPr>
        <w:spacing w:after="60" w:before="60"/>
      </w:pPr>
      <w:r>
        <w:rPr>
          <w:rFonts w:ascii="Calibri" w:cs="Calibri" w:eastAsia="Calibri" w:hAnsi="Calibri"/>
          <w:color w:val="444444"/>
          <w:sz w:val="20"/>
          <w:szCs w:val="20"/>
        </w:rPr>
        <w:t xml:space="preserve">Pablo fue contundente sobre el impacto de no tener esto resuelto:</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"We don't have the specific architecture plan, we won't be able to give the business objectives that we have in the program."</w:t>
      </w:r>
    </w:p>
    <w:p>
      <w:pPr>
        <w:spacing w:after="0" w:before="100"/>
      </w:pPr>
    </w:p>
    <w:p>
      <w:pPr>
        <w:shd w:fill="D6E4F7" w:color="D6E4F7" w:val="clear"/>
        <w:spacing w:after="60" w:before="60"/>
        <w:ind w:left="100" w:right="100"/>
      </w:pPr>
      <w:r>
        <w:rPr>
          <w:rFonts w:ascii="Calibri" w:cs="Calibri" w:eastAsia="Calibri" w:hAnsi="Calibri"/>
          <w:b/>
          <w:bCs/>
          <w:color w:val="1F3864"/>
          <w:sz w:val="20"/>
          <w:szCs w:val="20"/>
        </w:rPr>
        <w:t xml:space="preserve">Entregable esperado: </w:t>
      </w:r>
      <w:r>
        <w:rPr>
          <w:rFonts w:ascii="Calibri" w:cs="Calibri" w:eastAsia="Calibri" w:hAnsi="Calibri"/>
          <w:color w:val="444444"/>
          <w:sz w:val="20"/>
          <w:szCs w:val="20"/>
        </w:rPr>
        <w:t xml:space="preserve">Roadmap de arquitectura con vista de componentes por release. Pablo lo vinculó directamente al tema de interoperabilidad y architecturas de coexistencia (ver punto 2).</w:t>
      </w:r>
    </w:p>
    <w:p>
      <w:pPr>
        <w:pBdr>
          <w:bottom w:val="single" w:color="2E5DAA" w:sz="4"/>
        </w:pBdr>
        <w:spacing w:after="80" w:before="200"/>
      </w:pPr>
      <w:r>
        <w:rPr>
          <w:rFonts w:ascii="Calibri" w:cs="Calibri" w:eastAsia="Calibri" w:hAnsi="Calibri"/>
          <w:b/>
          <w:bCs/>
          <w:color w:val="2E5DAA"/>
          <w:sz w:val="24"/>
          <w:szCs w:val="24"/>
        </w:rPr>
        <w:t xml:space="preserve">2.  Arquitecturas de Coexistencia / Interoperabilidad — Riesgo de Ruta Crítica</w:t>
      </w:r>
    </w:p>
    <w:p>
      <w:pPr>
        <w:spacing w:after="60" w:before="60"/>
      </w:pPr>
      <w:r>
        <w:rPr>
          <w:rFonts w:ascii="Calibri" w:cs="Calibri" w:eastAsia="Calibri" w:hAnsi="Calibri"/>
          <w:color w:val="444444"/>
          <w:sz w:val="20"/>
          <w:szCs w:val="20"/>
        </w:rPr>
        <w:t xml:space="preserve">Pablo lo señaló explícitamente como un riesgo de ruta crítica para el programa. Este es el tema técnico más profundo que abordó en la sesión.</w:t>
      </w:r>
    </w:p>
    <w:p>
      <w:pPr>
        <w:spacing w:after="0" w:before="80"/>
      </w:pPr>
    </w:p>
    <w:p>
      <w:pPr>
        <w:spacing w:after="60" w:before="60"/>
      </w:pPr>
      <w:r>
        <w:rPr>
          <w:rFonts w:ascii="Calibri" w:cs="Calibri" w:eastAsia="Calibri" w:hAnsi="Calibri"/>
          <w:color w:val="444444"/>
          <w:sz w:val="20"/>
          <w:szCs w:val="20"/>
        </w:rPr>
        <w:t xml:space="preserve">Puso un ejemplo concreto para ilustrar la complejidad no resuelta: cuando captación salga en Transact el próximo año, los canales de atención en sucursal (caja / teller) seguirán operando sobre el sistema legado. Esto genera dos problemas de arquitectura sin respuesta:</w:t>
      </w:r>
    </w:p>
    <w:p>
      <w:pPr>
        <w:pStyle w:val="ListParagraph"/>
        <w:numPr>
          <w:ilvl w:val="0"/>
          <w:numId w:val="1"/>
        </w:numPr>
        <w:spacing w:after="40" w:before="40"/>
        <w:ind w:left="360"/>
      </w:pPr>
      <w:r>
        <w:rPr>
          <w:rFonts w:ascii="Calibri" w:cs="Calibri" w:eastAsia="Calibri" w:hAnsi="Calibri"/>
          <w:color w:val="444444"/>
          <w:sz w:val="20"/>
          <w:szCs w:val="20"/>
        </w:rPr>
        <w:t xml:space="preserve">Habrá dos autorizadores de transacciones operando en paralelo (uno para el legado, uno para Transact).</w:t>
      </w:r>
    </w:p>
    <w:p>
      <w:pPr>
        <w:pStyle w:val="ListParagraph"/>
        <w:numPr>
          <w:ilvl w:val="0"/>
          <w:numId w:val="1"/>
        </w:numPr>
        <w:spacing w:after="40" w:before="40"/>
        <w:ind w:left="360"/>
      </w:pPr>
      <w:r>
        <w:rPr>
          <w:rFonts w:ascii="Calibri" w:cs="Calibri" w:eastAsia="Calibri" w:hAnsi="Calibri"/>
          <w:color w:val="444444"/>
          <w:sz w:val="20"/>
          <w:szCs w:val="20"/>
        </w:rPr>
        <w:t xml:space="preserve">No está definido si el HCM —la bóveda donde se almacena el token / código seguro de tarjeta— puede ser compartida entre el mundo legado y el nuevo, o si se duplica.</w:t>
      </w:r>
    </w:p>
    <w:p>
      <w:pPr>
        <w:spacing w:after="0" w:before="80"/>
      </w:pP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"Esta convivencia, que le llamamos aquí interoperabilidad, todavía no está detallada, no lo tenemos claro, y eso me puede modificar completamente la ruta crítica — pero completamente."</w:t>
      </w:r>
    </w:p>
    <w:p>
      <w:pPr>
        <w:spacing w:after="0" w:before="80"/>
      </w:pPr>
    </w:p>
    <w:p>
      <w:pPr>
        <w:spacing w:after="60" w:before="60"/>
      </w:pPr>
      <w:r>
        <w:rPr>
          <w:rFonts w:ascii="Calibri" w:cs="Calibri" w:eastAsia="Calibri" w:hAnsi="Calibri"/>
          <w:color w:val="444444"/>
          <w:sz w:val="20"/>
          <w:szCs w:val="20"/>
        </w:rPr>
        <w:t xml:space="preserve">Pablo fue claro en que estas decisiones de coexistencia nunca surgirán de las historias de usuario: solo la arquitectura puede detectarlas y ponerlas sobre la mesa antes de que bloqueen al programa.</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"En la historia de usuario nunca voy a ver esta definición, de ninguna manera. El usuario no va a tener esta claridad, la va a tener hasta que yo se la ponga enfrente."</w:t>
      </w:r>
    </w:p>
    <w:p>
      <w:pPr>
        <w:spacing w:after="0" w:before="80"/>
      </w:pPr>
    </w:p>
    <w:p>
      <w:pPr>
        <w:spacing w:after="60" w:before="60"/>
      </w:pPr>
      <w:r>
        <w:rPr>
          <w:rFonts w:ascii="Calibri" w:cs="Calibri" w:eastAsia="Calibri" w:hAnsi="Calibri"/>
          <w:color w:val="444444"/>
          <w:sz w:val="20"/>
          <w:szCs w:val="20"/>
        </w:rPr>
        <w:t xml:space="preserve">Joaquin confirmó en sesión que esto es parte del trabajo de interoperabilidad y arquitecturas de coexistencia en desarrollo. Pablo acusó recibo, pero queda pendiente darle visibilidad formal en el roadmap.</w:t>
      </w:r>
    </w:p>
    <w:p>
      <w:pPr>
        <w:spacing w:after="0" w:before="100"/>
      </w:pPr>
    </w:p>
    <w:p>
      <w:pPr>
        <w:shd w:fill="D6E4F7" w:color="D6E4F7" w:val="clear"/>
        <w:spacing w:after="60" w:before="60"/>
        <w:ind w:left="100" w:right="100"/>
      </w:pPr>
      <w:r>
        <w:rPr>
          <w:rFonts w:ascii="Calibri" w:cs="Calibri" w:eastAsia="Calibri" w:hAnsi="Calibri"/>
          <w:b/>
          <w:bCs/>
          <w:color w:val="1F3864"/>
          <w:sz w:val="20"/>
          <w:szCs w:val="20"/>
        </w:rPr>
        <w:t xml:space="preserve">Entregable esperado: </w:t>
      </w:r>
      <w:r>
        <w:rPr>
          <w:rFonts w:ascii="Calibri" w:cs="Calibri" w:eastAsia="Calibri" w:hAnsi="Calibri"/>
          <w:color w:val="444444"/>
          <w:sz w:val="20"/>
          <w:szCs w:val="20"/>
        </w:rPr>
        <w:t xml:space="preserve">Arquitecturas de coexistencia detalladas que resuelvan al menos: modelo de autorización de transacciones dual, compartición o duplicación del HCM, y estrategia para canales de atención que permanezcan en legado. Debe integrarse en el roadmap del punto 1.</w:t>
      </w:r>
    </w:p>
    <w:p>
      <w:pPr>
        <w:pBdr>
          <w:bottom w:val="single" w:color="2E5DAA" w:sz="4"/>
        </w:pBdr>
        <w:spacing w:after="80" w:before="200"/>
      </w:pPr>
      <w:r>
        <w:rPr>
          <w:rFonts w:ascii="Calibri" w:cs="Calibri" w:eastAsia="Calibri" w:hAnsi="Calibri"/>
          <w:b/>
          <w:bCs/>
          <w:color w:val="2E5DAA"/>
          <w:sz w:val="24"/>
          <w:szCs w:val="24"/>
        </w:rPr>
        <w:t xml:space="preserve">3.  Design Authority — Necesario pero sin capacidad operativa habilitada</w:t>
      </w:r>
    </w:p>
    <w:p>
      <w:pPr>
        <w:spacing w:after="60" w:before="60"/>
      </w:pPr>
      <w:r>
        <w:rPr>
          <w:rFonts w:ascii="Calibri" w:cs="Calibri" w:eastAsia="Calibri" w:hAnsi="Calibri"/>
          <w:color w:val="444444"/>
          <w:sz w:val="20"/>
          <w:szCs w:val="20"/>
        </w:rPr>
        <w:t xml:space="preserve">Pablo recordó que él mismo solicitó la creación del Design Authority orientado a arquitectura de soluciones, y que Edgar Mejía fue designado para presidir ese rol. Sin embargo, expresó dudas sobre si el rol se está ejerciendo realmente:</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"Hoy llegó Edgar Mejía un poquito a tener esta función. No estoy seguro que esté haciendo necesariamente esta función o esté cumpliendo con este papel."</w:t>
      </w:r>
    </w:p>
    <w:p>
      <w:pPr>
        <w:spacing w:after="0" w:before="80"/>
      </w:pPr>
    </w:p>
    <w:p>
      <w:pPr>
        <w:spacing w:after="60" w:before="60"/>
      </w:pPr>
      <w:r>
        <w:rPr>
          <w:rFonts w:ascii="Calibri" w:cs="Calibri" w:eastAsia="Calibri" w:hAnsi="Calibri"/>
          <w:color w:val="444444"/>
          <w:sz w:val="20"/>
          <w:szCs w:val="20"/>
        </w:rPr>
        <w:t xml:space="preserve">Su postura respecto a si el Design Authority puede convertirse en una capa de burocracia fue clara:</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"A mí me preocuparía más el retrabajo hacia delante si es que no se tiene considerada alguna condición de reuso. Hay que hacerlo, sin duda."</w:t>
      </w:r>
    </w:p>
    <w:p>
      <w:pPr>
        <w:spacing w:after="0" w:before="80"/>
      </w:pPr>
    </w:p>
    <w:p>
      <w:pPr>
        <w:spacing w:after="60" w:before="60"/>
      </w:pPr>
      <w:r>
        <w:rPr>
          <w:rFonts w:ascii="Calibri" w:cs="Calibri" w:eastAsia="Calibri" w:hAnsi="Calibri"/>
          <w:color w:val="444444"/>
          <w:sz w:val="20"/>
          <w:szCs w:val="20"/>
        </w:rPr>
        <w:t xml:space="preserve">Joaquin explicó el problema de fondo: los arquitectos de solución dentro de los tracks no tienen tiempo asignado para participar en este mecanismo. La estimadora de proyectos no contempla slots de tiempo para arquitectura de solución, lo cual es parte del origen del problema. Sin esa capacidad disponible, el mecanismo no puede funcionar aunque formalmente exista.</w:t>
      </w:r>
    </w:p>
    <w:p>
      <w:pPr>
        <w:spacing w:after="0" w:before="80"/>
      </w:pPr>
    </w:p>
    <w:p>
      <w:pPr>
        <w:spacing w:after="60" w:before="60"/>
      </w:pPr>
      <w:r>
        <w:rPr>
          <w:rFonts w:ascii="Calibri" w:cs="Calibri" w:eastAsia="Calibri" w:hAnsi="Calibri"/>
          <w:color w:val="444444"/>
          <w:sz w:val="20"/>
          <w:szCs w:val="20"/>
        </w:rPr>
        <w:t xml:space="preserve">Pablo ligó este punto directamente al tema del roadmap:</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"Yo lo ligaría al comentario que les hacía originalmente Pichardo del roadmap de arquitectura."</w:t>
      </w:r>
    </w:p>
    <w:p>
      <w:pPr>
        <w:spacing w:after="0" w:before="100"/>
      </w:pPr>
    </w:p>
    <w:p>
      <w:pPr>
        <w:shd w:fill="D6E4F7" w:color="D6E4F7" w:val="clear"/>
        <w:spacing w:after="60" w:before="60"/>
        <w:ind w:left="100" w:right="100"/>
      </w:pPr>
      <w:r>
        <w:rPr>
          <w:rFonts w:ascii="Calibri" w:cs="Calibri" w:eastAsia="Calibri" w:hAnsi="Calibri"/>
          <w:b/>
          <w:bCs/>
          <w:color w:val="1F3864"/>
          <w:sz w:val="20"/>
          <w:szCs w:val="20"/>
        </w:rPr>
        <w:t xml:space="preserve">Acción pendiente: </w:t>
      </w:r>
      <w:r>
        <w:rPr>
          <w:rFonts w:ascii="Calibri" w:cs="Calibri" w:eastAsia="Calibri" w:hAnsi="Calibri"/>
          <w:color w:val="444444"/>
          <w:sz w:val="20"/>
          <w:szCs w:val="20"/>
        </w:rPr>
        <w:t xml:space="preserve">Definir con Edgar Mejía cómo se fondea y opera el Design Authority: quiénes son los arquitectos de solución que participan, con qué frecuencia, y cómo se integra al proceso de los tracks. Comunicar al equipo que el mecanismo existe y cómo usarlo.</w:t>
      </w:r>
    </w:p>
    <w:p>
      <w:pPr>
        <w:pBdr>
          <w:bottom w:val="single" w:color="2E5DAA" w:sz="4"/>
        </w:pBdr>
        <w:spacing w:after="80" w:before="200"/>
      </w:pPr>
      <w:r>
        <w:rPr>
          <w:rFonts w:ascii="Calibri" w:cs="Calibri" w:eastAsia="Calibri" w:hAnsi="Calibri"/>
          <w:b/>
          <w:bCs/>
          <w:color w:val="2E5DAA"/>
          <w:sz w:val="24"/>
          <w:szCs w:val="24"/>
        </w:rPr>
        <w:t xml:space="preserve">4.  Proceso de construcción de APIs e Integraciones — Simplificación acordada</w:t>
      </w:r>
    </w:p>
    <w:p>
      <w:pPr>
        <w:spacing w:after="60" w:before="60"/>
      </w:pPr>
      <w:r>
        <w:rPr>
          <w:rFonts w:ascii="Calibri" w:cs="Calibri" w:eastAsia="Calibri" w:hAnsi="Calibri"/>
          <w:color w:val="444444"/>
          <w:sz w:val="20"/>
          <w:szCs w:val="20"/>
        </w:rPr>
        <w:t xml:space="preserve">Pablo informó que ya habló con Juan Manuel al respecto y que hay acuerdo en principio para modificar el proceso de construcción de APIs e integraciones. El punto central es la posibilidad de eliminar la generación del contrato previo (contract-first) en el proceso actual:</w:t>
      </w:r>
    </w:p>
    <w:p>
      <w:pPr>
        <w:pBdr>
          <w:left w:val="single" w:color="2E5DAA" w:sz="12"/>
        </w:pBdr>
        <w:shd w:fill="F2F2F2" w:color="F2F2F2" w:val="clear"/>
        <w:spacing w:after="80" w:before="80"/>
        <w:ind w:left="576" w:right="288"/>
      </w:pPr>
      <w:r>
        <w:rPr>
          <w:rFonts w:ascii="Calibri" w:cs="Calibri" w:eastAsia="Calibri" w:hAnsi="Calibri"/>
          <w:i/>
          <w:iCs/>
          <w:color w:val="555555"/>
          <w:sz w:val="19"/>
          <w:szCs w:val="19"/>
        </w:rPr>
        <w:t xml:space="preserve">"Si la propuesta es que no se genere un contrato para estos, nada más hay que argumentar muy bien por qué lo estaríamos haciendo de esta manera: ¿qué es lo que se está dejando de lado al poder simplificar estos procesos?"</w:t>
      </w:r>
    </w:p>
    <w:p>
      <w:pPr>
        <w:spacing w:after="0" w:before="80"/>
      </w:pPr>
    </w:p>
    <w:p>
      <w:pPr>
        <w:spacing w:after="60" w:before="60"/>
      </w:pPr>
      <w:r>
        <w:rPr>
          <w:rFonts w:ascii="Calibri" w:cs="Calibri" w:eastAsia="Calibri" w:hAnsi="Calibri"/>
          <w:color w:val="444444"/>
          <w:sz w:val="20"/>
          <w:szCs w:val="20"/>
        </w:rPr>
        <w:t xml:space="preserve">El impacto cuantificado del proceso actual: se estima que está generando un retraso de entre 50 y 60 días en el plan de delivery. Pablo considera que añade una capa que no aporta valor en este momento del programa.</w:t>
      </w:r>
    </w:p>
    <w:p>
      <w:pPr>
        <w:spacing w:after="0" w:before="80"/>
      </w:pPr>
    </w:p>
    <w:p>
      <w:pPr>
        <w:spacing w:after="60" w:before="60"/>
      </w:pPr>
      <w:r>
        <w:rPr>
          <w:rFonts w:ascii="Calibri" w:cs="Calibri" w:eastAsia="Calibri" w:hAnsi="Calibri"/>
          <w:color w:val="444444"/>
          <w:sz w:val="20"/>
          <w:szCs w:val="20"/>
        </w:rPr>
        <w:t xml:space="preserve">Adicionalmente, Pablo pidió que se revise la disponibilidad y el reporte de los recursos que están construyendo integraciones, con foco especial en la capa de presentación (Mojo y Play Digital), que en su visión debería depender directamente de las células o del programa para garantizar los tiempos.</w:t>
      </w:r>
    </w:p>
    <w:p>
      <w:pPr>
        <w:spacing w:after="0" w:before="100"/>
      </w:pPr>
    </w:p>
    <w:p>
      <w:pPr>
        <w:shd w:fill="D6E4F7" w:color="D6E4F7" w:val="clear"/>
        <w:spacing w:after="60" w:before="60"/>
        <w:ind w:left="100" w:right="100"/>
      </w:pPr>
      <w:r>
        <w:rPr>
          <w:rFonts w:ascii="Calibri" w:cs="Calibri" w:eastAsia="Calibri" w:hAnsi="Calibri"/>
          <w:b/>
          <w:bCs/>
          <w:color w:val="1F3864"/>
          <w:sz w:val="20"/>
          <w:szCs w:val="20"/>
        </w:rPr>
        <w:t xml:space="preserve">Acción pendiente: </w:t>
      </w:r>
      <w:r>
        <w:rPr>
          <w:rFonts w:ascii="Calibri" w:cs="Calibri" w:eastAsia="Calibri" w:hAnsi="Calibri"/>
          <w:color w:val="444444"/>
          <w:sz w:val="20"/>
          <w:szCs w:val="20"/>
        </w:rPr>
        <w:t xml:space="preserve">Elaborar propuesta técnica formal que argumente la simplificación del proceso de APIs (eliminación de contract-first), con análisis de riesgo de lo que se deja de lado. La apertura de Pablo y Juan Manuel ya está confirmada; lo que falta es la argumentación técnica del track de arquitectura.</w:t>
      </w:r>
    </w:p>
    <w:p>
      <w:pPr>
        <w:shd w:fill="1F3864" w:color="1F3864" w:val="clear"/>
        <w:spacing w:after="120" w:before="240"/>
        <w:ind w:left="144" w:right="144"/>
      </w:pPr>
      <w:r>
        <w:rPr>
          <w:rFonts w:ascii="Calibri" w:cs="Calibri" w:eastAsia="Calibri" w:hAnsi="Calibri"/>
          <w:b/>
          <w:bCs/>
          <w:color w:val="FFFFFF"/>
          <w:sz w:val="26"/>
          <w:szCs w:val="26"/>
        </w:rPr>
        <w:t xml:space="preserve">  RESUMEN EJECUTIVO — SEMÁFORO DE REQUERIMIENTOS</w:t>
      </w:r>
    </w:p>
    <w:p>
      <w:pPr>
        <w:spacing w:after="8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1400"/>
        <w:gridCol w:w="1400"/>
      </w:tblGrid>
      <w:tr>
        <w:trPr>
          <w:tblHeader/>
        </w:trPr>
        <w:tc>
          <w:tcPr>
            <w:tcW w:type="dxa" w:w="3400"/>
            <w:shd w:fill="1F3864" w:color="1F3864"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Requerimiento</w:t>
            </w:r>
          </w:p>
        </w:tc>
        <w:tc>
          <w:tcPr>
            <w:tcW w:type="dxa" w:w="2800"/>
            <w:shd w:fill="1F3864" w:color="1F3864"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Estado actual</w:t>
            </w:r>
          </w:p>
        </w:tc>
        <w:tc>
          <w:tcPr>
            <w:tcW w:type="dxa" w:w="1400"/>
            <w:shd w:fill="1F3864" w:color="1F3864"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Urgencia Pablo</w:t>
            </w:r>
          </w:p>
        </w:tc>
        <w:tc>
          <w:tcPr>
            <w:tcW w:type="dxa" w:w="1400"/>
            <w:shd w:fill="1F3864" w:color="1F3864"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Semáforo</w:t>
            </w:r>
          </w:p>
        </w:tc>
      </w:tr>
      <w:tr>
        <w:tc>
          <w:tcPr>
            <w:tcW w:type="dxa" w:w="3400"/>
            <w:shd w:fill="FFFFFF" w:color="FFFFFF" w:val="clear"/>
            <w:tcMar>
              <w:top w:type="dxa" w:w="60"/>
              <w:left w:type="dxa" w:w="100"/>
              <w:bottom w:type="dxa" w:w="60"/>
              <w:right w:type="dxa" w:w="100"/>
            </w:tcMar>
          </w:tcPr>
          <w:p>
            <w:r>
              <w:rPr>
                <w:rFonts w:ascii="Calibri" w:cs="Calibri" w:eastAsia="Calibri" w:hAnsi="Calibri"/>
                <w:b/>
                <w:bCs/>
                <w:color w:val="444444"/>
                <w:sz w:val="18"/>
                <w:szCs w:val="18"/>
              </w:rPr>
              <w:t xml:space="preserve">Roadmap de Arquitectura por Release (R4–R7 / 2027)</w:t>
            </w:r>
          </w:p>
        </w:tc>
        <w:tc>
          <w:tcPr>
            <w:tcW w:type="dxa" w:w="2800"/>
            <w:shd w:fill="FFFFFF" w:color="FFFFFF" w:val="clear"/>
            <w:tcMar>
              <w:top w:type="dxa" w:w="60"/>
              <w:left w:type="dxa" w:w="100"/>
              <w:bottom w:type="dxa" w:w="60"/>
              <w:right w:type="dxa" w:w="100"/>
            </w:tcMar>
          </w:tcPr>
          <w:p>
            <w:r>
              <w:rPr>
                <w:rFonts w:ascii="Calibri" w:cs="Calibri" w:eastAsia="Calibri" w:hAnsi="Calibri"/>
                <w:b w:val="false"/>
                <w:bCs w:val="false"/>
                <w:color w:val="444444"/>
                <w:sz w:val="18"/>
                <w:szCs w:val="18"/>
              </w:rPr>
              <w:t xml:space="preserve">Pendiente — no presentado formalmente</w:t>
            </w:r>
          </w:p>
        </w:tc>
        <w:tc>
          <w:tcPr>
            <w:tcW w:type="dxa" w:w="1400"/>
            <w:shd w:fill="C0392B" w:color="C0392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Alta</w:t>
            </w:r>
          </w:p>
        </w:tc>
        <w:tc>
          <w:tcPr>
            <w:tcW w:type="dxa" w:w="1400"/>
            <w:shd w:fill="C0392B" w:color="C0392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Alta</w:t>
            </w:r>
          </w:p>
        </w:tc>
      </w:tr>
      <w:tr>
        <w:tc>
          <w:tcPr>
            <w:tcW w:type="dxa" w:w="3400"/>
            <w:shd w:fill="F2F2F2" w:color="F2F2F2" w:val="clear"/>
            <w:tcMar>
              <w:top w:type="dxa" w:w="60"/>
              <w:left w:type="dxa" w:w="100"/>
              <w:bottom w:type="dxa" w:w="60"/>
              <w:right w:type="dxa" w:w="100"/>
            </w:tcMar>
          </w:tcPr>
          <w:p>
            <w:r>
              <w:rPr>
                <w:rFonts w:ascii="Calibri" w:cs="Calibri" w:eastAsia="Calibri" w:hAnsi="Calibri"/>
                <w:b/>
                <w:bCs/>
                <w:color w:val="444444"/>
                <w:sz w:val="18"/>
                <w:szCs w:val="18"/>
              </w:rPr>
              <w:t xml:space="preserve">Arquitecturas de Coexistencia / Interoperabilidad</w:t>
            </w:r>
          </w:p>
        </w:tc>
        <w:tc>
          <w:tcPr>
            <w:tcW w:type="dxa" w:w="2800"/>
            <w:shd w:fill="F2F2F2" w:color="F2F2F2" w:val="clear"/>
            <w:tcMar>
              <w:top w:type="dxa" w:w="60"/>
              <w:left w:type="dxa" w:w="100"/>
              <w:bottom w:type="dxa" w:w="60"/>
              <w:right w:type="dxa" w:w="100"/>
            </w:tcMar>
          </w:tcPr>
          <w:p>
            <w:r>
              <w:rPr>
                <w:rFonts w:ascii="Calibri" w:cs="Calibri" w:eastAsia="Calibri" w:hAnsi="Calibri"/>
                <w:b w:val="false"/>
                <w:bCs w:val="false"/>
                <w:color w:val="444444"/>
                <w:sz w:val="18"/>
                <w:szCs w:val="18"/>
              </w:rPr>
              <w:t xml:space="preserve">En desarrollo — sin visibilidad pública aún</w:t>
            </w:r>
          </w:p>
        </w:tc>
        <w:tc>
          <w:tcPr>
            <w:tcW w:type="dxa" w:w="1400"/>
            <w:shd w:fill="C0392B" w:color="C0392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Crítica</w:t>
            </w:r>
          </w:p>
        </w:tc>
        <w:tc>
          <w:tcPr>
            <w:tcW w:type="dxa" w:w="1400"/>
            <w:shd w:fill="C0392B" w:color="C0392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Crítica</w:t>
            </w:r>
          </w:p>
        </w:tc>
      </w:tr>
      <w:tr>
        <w:tc>
          <w:tcPr>
            <w:tcW w:type="dxa" w:w="3400"/>
            <w:shd w:fill="FFFFFF" w:color="FFFFFF" w:val="clear"/>
            <w:tcMar>
              <w:top w:type="dxa" w:w="60"/>
              <w:left w:type="dxa" w:w="100"/>
              <w:bottom w:type="dxa" w:w="60"/>
              <w:right w:type="dxa" w:w="100"/>
            </w:tcMar>
          </w:tcPr>
          <w:p>
            <w:r>
              <w:rPr>
                <w:rFonts w:ascii="Calibri" w:cs="Calibri" w:eastAsia="Calibri" w:hAnsi="Calibri"/>
                <w:b/>
                <w:bCs/>
                <w:color w:val="444444"/>
                <w:sz w:val="18"/>
                <w:szCs w:val="18"/>
              </w:rPr>
              <w:t xml:space="preserve">Design Authority operativo con recursos reales</w:t>
            </w:r>
          </w:p>
        </w:tc>
        <w:tc>
          <w:tcPr>
            <w:tcW w:type="dxa" w:w="2800"/>
            <w:shd w:fill="FFFFFF" w:color="FFFFFF" w:val="clear"/>
            <w:tcMar>
              <w:top w:type="dxa" w:w="60"/>
              <w:left w:type="dxa" w:w="100"/>
              <w:bottom w:type="dxa" w:w="60"/>
              <w:right w:type="dxa" w:w="100"/>
            </w:tcMar>
          </w:tcPr>
          <w:p>
            <w:r>
              <w:rPr>
                <w:rFonts w:ascii="Calibri" w:cs="Calibri" w:eastAsia="Calibri" w:hAnsi="Calibri"/>
                <w:b w:val="false"/>
                <w:bCs w:val="false"/>
                <w:color w:val="444444"/>
                <w:sz w:val="18"/>
                <w:szCs w:val="18"/>
              </w:rPr>
              <w:t xml:space="preserve">Edgar Mejía designado, sin capacidad asignada</w:t>
            </w:r>
          </w:p>
        </w:tc>
        <w:tc>
          <w:tcPr>
            <w:tcW w:type="dxa" w:w="1400"/>
            <w:shd w:fill="E67E22" w:color="E67E22"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Alta</w:t>
            </w:r>
          </w:p>
        </w:tc>
        <w:tc>
          <w:tcPr>
            <w:tcW w:type="dxa" w:w="1400"/>
            <w:shd w:fill="E67E22" w:color="E67E22"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Alta</w:t>
            </w:r>
          </w:p>
        </w:tc>
      </w:tr>
      <w:tr>
        <w:tc>
          <w:tcPr>
            <w:tcW w:type="dxa" w:w="3400"/>
            <w:shd w:fill="F2F2F2" w:color="F2F2F2" w:val="clear"/>
            <w:tcMar>
              <w:top w:type="dxa" w:w="60"/>
              <w:left w:type="dxa" w:w="100"/>
              <w:bottom w:type="dxa" w:w="60"/>
              <w:right w:type="dxa" w:w="100"/>
            </w:tcMar>
          </w:tcPr>
          <w:p>
            <w:r>
              <w:rPr>
                <w:rFonts w:ascii="Calibri" w:cs="Calibri" w:eastAsia="Calibri" w:hAnsi="Calibri"/>
                <w:b/>
                <w:bCs/>
                <w:color w:val="444444"/>
                <w:sz w:val="18"/>
                <w:szCs w:val="18"/>
              </w:rPr>
              <w:t xml:space="preserve">Propuesta de simplificación de APIs (sin contract-first)</w:t>
            </w:r>
          </w:p>
        </w:tc>
        <w:tc>
          <w:tcPr>
            <w:tcW w:type="dxa" w:w="2800"/>
            <w:shd w:fill="F2F2F2" w:color="F2F2F2" w:val="clear"/>
            <w:tcMar>
              <w:top w:type="dxa" w:w="60"/>
              <w:left w:type="dxa" w:w="100"/>
              <w:bottom w:type="dxa" w:w="60"/>
              <w:right w:type="dxa" w:w="100"/>
            </w:tcMar>
          </w:tcPr>
          <w:p>
            <w:r>
              <w:rPr>
                <w:rFonts w:ascii="Calibri" w:cs="Calibri" w:eastAsia="Calibri" w:hAnsi="Calibri"/>
                <w:b w:val="false"/>
                <w:bCs w:val="false"/>
                <w:color w:val="444444"/>
                <w:sz w:val="18"/>
                <w:szCs w:val="18"/>
              </w:rPr>
              <w:t xml:space="preserve">Apertura confirmada con Juan Manuel — falta argumentación</w:t>
            </w:r>
          </w:p>
        </w:tc>
        <w:tc>
          <w:tcPr>
            <w:tcW w:type="dxa" w:w="1400"/>
            <w:shd w:fill="E67E22" w:color="E67E22"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Media</w:t>
            </w:r>
          </w:p>
        </w:tc>
        <w:tc>
          <w:tcPr>
            <w:tcW w:type="dxa" w:w="1400"/>
            <w:shd w:fill="E67E22" w:color="E67E22"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Media</w:t>
            </w:r>
          </w:p>
        </w:tc>
      </w:tr>
    </w:tbl>
    <w:p>
      <w:pPr>
        <w:spacing w:after="0" w:before="160"/>
      </w:pPr>
    </w:p>
    <w:p>
      <w:pPr>
        <w:shd w:fill="1F3864" w:color="1F3864" w:val="clear"/>
        <w:spacing w:after="120" w:before="240"/>
        <w:ind w:left="144" w:right="144"/>
      </w:pPr>
      <w:r>
        <w:rPr>
          <w:rFonts w:ascii="Calibri" w:cs="Calibri" w:eastAsia="Calibri" w:hAnsi="Calibri"/>
          <w:b/>
          <w:bCs/>
          <w:color w:val="FFFFFF"/>
          <w:sz w:val="26"/>
          <w:szCs w:val="26"/>
        </w:rPr>
        <w:t xml:space="preserve">  MENSAJE CLAVE DE PABLO PARA EL TRACK</w:t>
      </w:r>
    </w:p>
    <w:p>
      <w:pPr>
        <w:spacing w:after="0" w:before="80"/>
      </w:pPr>
    </w:p>
    <w:p>
      <w:pPr>
        <w:pBdr>
          <w:left w:val="single" w:color="2E5DAA" w:sz="20"/>
        </w:pBdr>
        <w:shd w:fill="D6E4F7" w:color="D6E4F7" w:val="clear"/>
        <w:spacing w:after="120" w:before="120"/>
        <w:ind w:left="215" w:right="215"/>
      </w:pPr>
      <w:r>
        <w:rPr>
          <w:rFonts w:ascii="Calibri" w:cs="Calibri" w:eastAsia="Calibri" w:hAnsi="Calibri"/>
          <w:b/>
          <w:bCs/>
          <w:color w:val="1F3864"/>
          <w:sz w:val="21"/>
          <w:szCs w:val="21"/>
        </w:rPr>
        <w:t xml:space="preserve">La arquitectura de coexistencia y el roadmap de componentes por release son el cuello de botella más crítico del programa en este momento. Sin esa claridad, los demás tracks —negocio, delivery y PMO— no pueden comprometer fechas con confianza. Las decisiones de coexistencia que no se resuelvan desde arquitectura hoy se van a convertir en bloqueos en producción mañana.</w:t>
      </w:r>
    </w:p>
    <w:p>
      <w:pPr>
        <w:spacing w:after="0" w:before="200"/>
      </w:pPr>
    </w:p>
    <w:p>
      <w:pPr>
        <w:pBdr>
          <w:bottom w:val="single" w:color="2E5DAA" w:sz="6"/>
        </w:pBdr>
        <w:spacing w:after="40" w:before="40"/>
      </w:pPr>
    </w:p>
    <w:p>
      <w:pPr>
        <w:spacing w:after="0" w:before="60"/>
        <w:jc w:val="center"/>
      </w:pPr>
      <w:r>
        <w:rPr>
          <w:rFonts w:ascii="Calibri" w:cs="Calibri" w:eastAsia="Calibri" w:hAnsi="Calibri"/>
          <w:i/>
          <w:iCs/>
          <w:color w:val="888888"/>
          <w:sz w:val="16"/>
          <w:szCs w:val="16"/>
        </w:rPr>
        <w:t xml:space="preserve">Documento elaborado a partir de la transcripción oficial de la sesión del 28-jul-2026. Uso interno del equipo de arquitectura Accenture — Programa Unity BanCoppel.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5F16A9EC-EC37-4959-825B-F74758F7D25F}"/>
</file>

<file path=customXml/itemProps2.xml><?xml version="1.0" encoding="utf-8"?>
<ds:datastoreItem xmlns:ds="http://schemas.openxmlformats.org/officeDocument/2006/customXml" ds:itemID="{33358077-848B-4B3B-835B-8088FF88D48E}"/>
</file>

<file path=customXml/itemProps3.xml><?xml version="1.0" encoding="utf-8"?>
<ds:datastoreItem xmlns:ds="http://schemas.openxmlformats.org/officeDocument/2006/customXml" ds:itemID="{F14A69A8-40BB-4C2D-8BAD-2081874492A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2026-07-28T23:35:37Z</dcterms:created>
  <dcterms:modified xsi:type="dcterms:W3CDTF">2026-07-28T23:35:37Z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