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7B697" w14:textId="73E3E3F4" w:rsidR="00E70C03" w:rsidRDefault="00D567A7" w:rsidP="00D567A7">
      <w:pPr>
        <w:rPr>
          <w:lang w:val="es-ES_tradnl"/>
        </w:rPr>
      </w:pPr>
      <w:r w:rsidRPr="00D567A7">
        <w:rPr>
          <w:b/>
          <w:bCs/>
          <w:lang w:val="es-ES_tradnl"/>
        </w:rPr>
        <w:t>Minuta Detallada de Reunión</w:t>
      </w:r>
      <w:r w:rsidRPr="00D567A7">
        <w:rPr>
          <w:lang w:val="es-ES_tradnl"/>
        </w:rPr>
        <w:br/>
      </w:r>
      <w:r w:rsidRPr="00D567A7">
        <w:rPr>
          <w:lang w:val="es-ES_tradnl"/>
        </w:rPr>
        <w:br/>
      </w:r>
      <w:r w:rsidRPr="00D567A7">
        <w:rPr>
          <w:b/>
          <w:bCs/>
          <w:lang w:val="es-ES_tradnl"/>
        </w:rPr>
        <w:t>Título:</w:t>
      </w:r>
      <w:r w:rsidRPr="00D567A7">
        <w:rPr>
          <w:lang w:val="es-ES_tradnl"/>
        </w:rPr>
        <w:t> ACN | Aceleración Plan Director | Testing</w:t>
      </w:r>
      <w:r w:rsidRPr="00D567A7">
        <w:rPr>
          <w:lang w:val="es-ES_tradnl"/>
        </w:rPr>
        <w:br/>
      </w:r>
      <w:r w:rsidRPr="00D567A7">
        <w:rPr>
          <w:b/>
          <w:bCs/>
          <w:lang w:val="es-ES_tradnl"/>
        </w:rPr>
        <w:t>Fecha:</w:t>
      </w:r>
      <w:r w:rsidRPr="00D567A7">
        <w:rPr>
          <w:lang w:val="es-ES_tradnl"/>
        </w:rPr>
        <w:t> 28 de abril de 2026</w:t>
      </w:r>
      <w:r w:rsidRPr="00D567A7">
        <w:rPr>
          <w:lang w:val="es-ES_tradnl"/>
        </w:rPr>
        <w:br/>
      </w:r>
      <w:r w:rsidRPr="00D567A7">
        <w:rPr>
          <w:lang w:val="es-ES_tradnl"/>
        </w:rPr>
        <w:br/>
      </w:r>
      <w:r w:rsidRPr="00D567A7">
        <w:rPr>
          <w:b/>
          <w:bCs/>
          <w:lang w:val="es-ES_tradnl"/>
        </w:rPr>
        <w:t>Participantes Clave:</w:t>
      </w:r>
      <w:r w:rsidRPr="00D567A7">
        <w:rPr>
          <w:lang w:val="es-ES_tradnl"/>
        </w:rPr>
        <w:t xml:space="preserve"> Pablo Lorenzo Diaz, Lukasz Andrzej Pietrzyk, </w:t>
      </w:r>
      <w:r w:rsidR="00E70C03">
        <w:rPr>
          <w:lang w:val="es-ES_tradnl"/>
        </w:rPr>
        <w:t>Rosa</w:t>
      </w:r>
      <w:r w:rsidR="00BB20C3">
        <w:rPr>
          <w:lang w:val="es-ES_tradnl"/>
        </w:rPr>
        <w:t xml:space="preserve"> Margarita</w:t>
      </w:r>
      <w:r w:rsidR="00735801">
        <w:rPr>
          <w:lang w:val="es-ES_tradnl"/>
        </w:rPr>
        <w:t xml:space="preserve"> Ramirez</w:t>
      </w:r>
      <w:r w:rsidRPr="00D567A7">
        <w:rPr>
          <w:lang w:val="es-ES_tradnl"/>
        </w:rPr>
        <w:t>, y otros invitados.</w:t>
      </w:r>
      <w:r w:rsidRPr="00D567A7">
        <w:rPr>
          <w:lang w:val="es-ES_tradnl"/>
        </w:rPr>
        <w:br/>
      </w:r>
      <w:r w:rsidRPr="00D567A7">
        <w:rPr>
          <w:b/>
          <w:bCs/>
          <w:lang w:val="es-ES_tradnl"/>
        </w:rPr>
        <w:t>Objetivo:</w:t>
      </w:r>
      <w:r w:rsidRPr="00D567A7">
        <w:rPr>
          <w:lang w:val="es-ES_tradnl"/>
        </w:rPr>
        <w:t xml:space="preserve"> Revisar la estrategia de pruebas actual, identificar brechas críticas de implementación y planificar la optimización de procesos y </w:t>
      </w:r>
      <w:proofErr w:type="gramStart"/>
      <w:r w:rsidRPr="00D567A7">
        <w:rPr>
          <w:lang w:val="es-ES_tradnl"/>
        </w:rPr>
        <w:t>ambientes.-----</w:t>
      </w:r>
      <w:proofErr w:type="gramEnd"/>
    </w:p>
    <w:p w14:paraId="2C023659" w14:textId="64046FF3" w:rsidR="00D567A7" w:rsidRPr="00D567A7" w:rsidRDefault="00D567A7" w:rsidP="00D567A7">
      <w:pPr>
        <w:rPr>
          <w:lang w:val="es-ES_tradnl"/>
        </w:rPr>
      </w:pPr>
      <w:r w:rsidRPr="00D567A7">
        <w:rPr>
          <w:b/>
          <w:bCs/>
          <w:lang w:val="es-ES_tradnl"/>
        </w:rPr>
        <w:t>I. Análisis de la Estrategia Actual y Deficiencias en los Insumos</w:t>
      </w:r>
      <w:r w:rsidRPr="00D567A7">
        <w:rPr>
          <w:lang w:val="es-ES_tradnl"/>
        </w:rPr>
        <w:br/>
      </w:r>
      <w:r w:rsidRPr="00D567A7">
        <w:rPr>
          <w:lang w:val="es-ES_tradnl"/>
        </w:rPr>
        <w:br/>
        <w:t xml:space="preserve">La estrategia de pruebas se consideró bien </w:t>
      </w:r>
      <w:proofErr w:type="gramStart"/>
      <w:r w:rsidRPr="00D567A7">
        <w:rPr>
          <w:lang w:val="es-ES_tradnl"/>
        </w:rPr>
        <w:t>estructurada</w:t>
      </w:r>
      <w:proofErr w:type="gramEnd"/>
      <w:r w:rsidRPr="00D567A7">
        <w:rPr>
          <w:lang w:val="es-ES_tradnl"/>
        </w:rPr>
        <w:t xml:space="preserve"> pero con muchos puntos no implementados en la práctica.</w:t>
      </w:r>
    </w:p>
    <w:p w14:paraId="6BEBAD46" w14:textId="77777777" w:rsidR="00D567A7" w:rsidRPr="00D567A7" w:rsidRDefault="00D567A7" w:rsidP="00D567A7">
      <w:pPr>
        <w:numPr>
          <w:ilvl w:val="0"/>
          <w:numId w:val="12"/>
        </w:numPr>
        <w:rPr>
          <w:lang w:val="en-US"/>
        </w:rPr>
      </w:pPr>
      <w:r w:rsidRPr="00D567A7">
        <w:rPr>
          <w:b/>
          <w:bCs/>
          <w:lang w:val="en-US"/>
        </w:rPr>
        <w:t>Insumos y Retrabajo</w:t>
      </w:r>
    </w:p>
    <w:p w14:paraId="4B63586E" w14:textId="77777777" w:rsidR="00D567A7" w:rsidRPr="00D567A7" w:rsidRDefault="00D567A7" w:rsidP="00D567A7">
      <w:pPr>
        <w:numPr>
          <w:ilvl w:val="1"/>
          <w:numId w:val="12"/>
        </w:numPr>
        <w:rPr>
          <w:lang w:val="es-ES_tradnl"/>
        </w:rPr>
      </w:pPr>
      <w:r w:rsidRPr="00D567A7">
        <w:rPr>
          <w:b/>
          <w:bCs/>
          <w:lang w:val="es-ES_tradnl"/>
        </w:rPr>
        <w:t>Insumos:</w:t>
      </w:r>
      <w:r w:rsidRPr="00D567A7">
        <w:rPr>
          <w:lang w:val="es-ES_tradnl"/>
        </w:rPr>
        <w:t> Se reciben cuatro insumos principales (funcional, componentes tecnológicos, historias de usuario y requerimientos no funcionales), pero su calidad es deficiente.</w:t>
      </w:r>
    </w:p>
    <w:p w14:paraId="3D44537F" w14:textId="77777777" w:rsidR="00D567A7" w:rsidRPr="00D567A7" w:rsidRDefault="00D567A7" w:rsidP="00D567A7">
      <w:pPr>
        <w:numPr>
          <w:ilvl w:val="1"/>
          <w:numId w:val="12"/>
        </w:numPr>
        <w:rPr>
          <w:lang w:val="es-ES_tradnl"/>
        </w:rPr>
      </w:pPr>
      <w:r w:rsidRPr="00D567A7">
        <w:rPr>
          <w:b/>
          <w:bCs/>
          <w:lang w:val="es-ES_tradnl"/>
        </w:rPr>
        <w:t>Documentación Cultural:</w:t>
      </w:r>
      <w:r w:rsidRPr="00D567A7">
        <w:rPr>
          <w:lang w:val="es-ES_tradnl"/>
        </w:rPr>
        <w:t> Existe una resistencia cultural a documentar, lo que obliga al equipo de pruebas a realizar un retrabajo constante para definir flujos y escenarios.</w:t>
      </w:r>
    </w:p>
    <w:p w14:paraId="0143F952" w14:textId="77777777" w:rsidR="00D567A7" w:rsidRPr="00D567A7" w:rsidRDefault="00D567A7" w:rsidP="00D567A7">
      <w:pPr>
        <w:numPr>
          <w:ilvl w:val="0"/>
          <w:numId w:val="12"/>
        </w:numPr>
        <w:rPr>
          <w:lang w:val="en-US"/>
        </w:rPr>
      </w:pPr>
      <w:r w:rsidRPr="00D567A7">
        <w:rPr>
          <w:b/>
          <w:bCs/>
          <w:lang w:val="en-US"/>
        </w:rPr>
        <w:t>Historias de Usuario (HU)</w:t>
      </w:r>
    </w:p>
    <w:p w14:paraId="27C06B86" w14:textId="77777777" w:rsidR="00D567A7" w:rsidRPr="00D567A7" w:rsidRDefault="00D567A7" w:rsidP="00D567A7">
      <w:pPr>
        <w:numPr>
          <w:ilvl w:val="1"/>
          <w:numId w:val="12"/>
        </w:numPr>
        <w:rPr>
          <w:lang w:val="es-ES_tradnl"/>
        </w:rPr>
      </w:pPr>
      <w:r w:rsidRPr="00D567A7">
        <w:rPr>
          <w:lang w:val="es-ES_tradnl"/>
        </w:rPr>
        <w:t xml:space="preserve">Las HU en </w:t>
      </w:r>
      <w:r w:rsidRPr="00D567A7">
        <w:rPr>
          <w:i/>
          <w:iCs/>
          <w:lang w:val="es-ES_tradnl"/>
        </w:rPr>
        <w:t>Jira</w:t>
      </w:r>
      <w:r w:rsidRPr="00D567A7">
        <w:rPr>
          <w:lang w:val="es-ES_tradnl"/>
        </w:rPr>
        <w:t> suelen estar mal redactadas y son ambiguas.</w:t>
      </w:r>
    </w:p>
    <w:p w14:paraId="1BE9B805" w14:textId="19392A5C" w:rsidR="00D567A7" w:rsidRPr="00D567A7" w:rsidRDefault="00D567A7" w:rsidP="00D567A7">
      <w:pPr>
        <w:numPr>
          <w:ilvl w:val="1"/>
          <w:numId w:val="12"/>
        </w:numPr>
        <w:rPr>
          <w:lang w:val="es-ES_tradnl"/>
        </w:rPr>
      </w:pPr>
      <w:r w:rsidRPr="00D567A7">
        <w:rPr>
          <w:b/>
          <w:bCs/>
          <w:lang w:val="es-ES_tradnl"/>
        </w:rPr>
        <w:t>Mitigación:</w:t>
      </w:r>
      <w:r w:rsidRPr="00D567A7">
        <w:rPr>
          <w:lang w:val="es-ES_tradnl"/>
        </w:rPr>
        <w:t xml:space="preserve"> El equipo de </w:t>
      </w:r>
      <w:r w:rsidR="00735801">
        <w:rPr>
          <w:lang w:val="es-ES_tradnl"/>
        </w:rPr>
        <w:t>QA exige</w:t>
      </w:r>
      <w:r w:rsidRPr="00D567A7">
        <w:rPr>
          <w:lang w:val="es-ES_tradnl"/>
        </w:rPr>
        <w:t xml:space="preserve"> una plantilla obligatoria para cada HU (incluyendo fase, épica, funcionalidad, descripción, ID y confirmación de que esté cerrada) para evitar ambigüedades. Esta implementación requirió seis meses para ser adoptada por los equipos de desarrollo.</w:t>
      </w:r>
    </w:p>
    <w:p w14:paraId="7045499B" w14:textId="708ED12C" w:rsidR="00D567A7" w:rsidRPr="00D567A7" w:rsidRDefault="00D567A7" w:rsidP="00D567A7">
      <w:pPr>
        <w:numPr>
          <w:ilvl w:val="1"/>
          <w:numId w:val="12"/>
        </w:numPr>
        <w:rPr>
          <w:lang w:val="es-ES_tradnl"/>
        </w:rPr>
      </w:pPr>
      <w:r w:rsidRPr="00D567A7">
        <w:rPr>
          <w:b/>
          <w:bCs/>
          <w:lang w:val="es-ES_tradnl"/>
        </w:rPr>
        <w:t>Reglas de Negocio:</w:t>
      </w:r>
      <w:r w:rsidRPr="00D567A7">
        <w:rPr>
          <w:lang w:val="es-ES_tradnl"/>
        </w:rPr>
        <w:t xml:space="preserve"> La plantilla exige datos detallados, como si los campos son nuevos o configurables y, fundamentalmente, las reglas de negocio, lo cual requiere que el equipo de </w:t>
      </w:r>
      <w:r w:rsidR="00735801">
        <w:rPr>
          <w:lang w:val="es-ES_tradnl"/>
        </w:rPr>
        <w:t>QA</w:t>
      </w:r>
      <w:r w:rsidRPr="00D567A7">
        <w:rPr>
          <w:lang w:val="es-ES_tradnl"/>
        </w:rPr>
        <w:t xml:space="preserve"> complete documentación que debería provenir del análisis.</w:t>
      </w:r>
    </w:p>
    <w:p w14:paraId="2D25A0D4" w14:textId="77777777" w:rsidR="00D567A7" w:rsidRPr="00D567A7" w:rsidRDefault="00D567A7" w:rsidP="00D567A7">
      <w:pPr>
        <w:numPr>
          <w:ilvl w:val="0"/>
          <w:numId w:val="12"/>
        </w:numPr>
        <w:rPr>
          <w:lang w:val="en-US"/>
        </w:rPr>
      </w:pPr>
      <w:r w:rsidRPr="00D567A7">
        <w:rPr>
          <w:b/>
          <w:bCs/>
          <w:lang w:val="en-US"/>
        </w:rPr>
        <w:t>Desafíos Técnicos y Ambientes</w:t>
      </w:r>
    </w:p>
    <w:p w14:paraId="1797BB43" w14:textId="77777777" w:rsidR="00D567A7" w:rsidRPr="00D567A7" w:rsidRDefault="00D567A7" w:rsidP="00D567A7">
      <w:pPr>
        <w:numPr>
          <w:ilvl w:val="1"/>
          <w:numId w:val="12"/>
        </w:numPr>
        <w:rPr>
          <w:lang w:val="es-ES_tradnl"/>
        </w:rPr>
      </w:pPr>
      <w:r w:rsidRPr="00D567A7">
        <w:rPr>
          <w:b/>
          <w:bCs/>
          <w:lang w:val="es-ES_tradnl"/>
        </w:rPr>
        <w:t>Interfaces:</w:t>
      </w:r>
      <w:r w:rsidRPr="00D567A7">
        <w:rPr>
          <w:lang w:val="es-ES_tradnl"/>
        </w:rPr>
        <w:t xml:space="preserve"> Hay problemas diarios con la nivelación de interfaces y falta de claridad sobre los sistemas </w:t>
      </w:r>
      <w:r w:rsidRPr="00D567A7">
        <w:rPr>
          <w:i/>
          <w:iCs/>
          <w:lang w:val="es-ES_tradnl"/>
        </w:rPr>
        <w:t>source</w:t>
      </w:r>
      <w:r w:rsidRPr="00D567A7">
        <w:rPr>
          <w:lang w:val="es-ES_tradnl"/>
        </w:rPr>
        <w:t xml:space="preserve"> y </w:t>
      </w:r>
      <w:proofErr w:type="gramStart"/>
      <w:r w:rsidRPr="00D567A7">
        <w:rPr>
          <w:i/>
          <w:iCs/>
          <w:lang w:val="es-ES_tradnl"/>
        </w:rPr>
        <w:t>target</w:t>
      </w:r>
      <w:proofErr w:type="gramEnd"/>
      <w:r w:rsidRPr="00D567A7">
        <w:rPr>
          <w:lang w:val="es-ES_tradnl"/>
        </w:rPr>
        <w:t>.</w:t>
      </w:r>
    </w:p>
    <w:p w14:paraId="32F7AF70" w14:textId="77777777" w:rsidR="00D567A7" w:rsidRPr="00D567A7" w:rsidRDefault="00D567A7" w:rsidP="00D567A7">
      <w:pPr>
        <w:numPr>
          <w:ilvl w:val="1"/>
          <w:numId w:val="12"/>
        </w:numPr>
        <w:rPr>
          <w:lang w:val="es-ES_tradnl"/>
        </w:rPr>
      </w:pPr>
      <w:r w:rsidRPr="00D567A7">
        <w:rPr>
          <w:b/>
          <w:bCs/>
          <w:lang w:val="es-ES_tradnl"/>
        </w:rPr>
        <w:t>Ambiente QA:</w:t>
      </w:r>
      <w:r w:rsidRPr="00D567A7">
        <w:rPr>
          <w:lang w:val="es-ES_tradnl"/>
        </w:rPr>
        <w:t xml:space="preserve"> La habilitación de un ambiente </w:t>
      </w:r>
      <w:r w:rsidRPr="00D567A7">
        <w:rPr>
          <w:i/>
          <w:iCs/>
          <w:lang w:val="es-ES_tradnl"/>
        </w:rPr>
        <w:t>QA</w:t>
      </w:r>
      <w:r w:rsidRPr="00D567A7">
        <w:rPr>
          <w:lang w:val="es-ES_tradnl"/>
        </w:rPr>
        <w:t> tardó dos años.</w:t>
      </w:r>
    </w:p>
    <w:p w14:paraId="63123B12" w14:textId="77777777" w:rsidR="00D567A7" w:rsidRPr="00D567A7" w:rsidRDefault="00D567A7" w:rsidP="00D567A7">
      <w:pPr>
        <w:numPr>
          <w:ilvl w:val="1"/>
          <w:numId w:val="12"/>
        </w:numPr>
        <w:rPr>
          <w:lang w:val="es-ES_tradnl"/>
        </w:rPr>
      </w:pPr>
      <w:r w:rsidRPr="00D567A7">
        <w:rPr>
          <w:b/>
          <w:bCs/>
          <w:lang w:val="es-ES_tradnl"/>
        </w:rPr>
        <w:t>SLA Bajos:</w:t>
      </w:r>
      <w:r w:rsidRPr="00D567A7">
        <w:rPr>
          <w:lang w:val="es-ES_tradnl"/>
        </w:rPr>
        <w:t xml:space="preserve"> La dependencia de equipos de operaciones para habilitar servicios (como </w:t>
      </w:r>
      <w:proofErr w:type="gramStart"/>
      <w:r w:rsidRPr="00D567A7">
        <w:rPr>
          <w:lang w:val="es-ES_tradnl"/>
        </w:rPr>
        <w:t>resetear</w:t>
      </w:r>
      <w:proofErr w:type="gramEnd"/>
      <w:r w:rsidRPr="00D567A7">
        <w:rPr>
          <w:lang w:val="es-ES_tradnl"/>
        </w:rPr>
        <w:t xml:space="preserve"> bases de datos) genera largos retrasos debido a acuerdos de nivel de servicio (</w:t>
      </w:r>
      <w:r w:rsidRPr="00D567A7">
        <w:rPr>
          <w:i/>
          <w:iCs/>
          <w:lang w:val="es-ES_tradnl"/>
        </w:rPr>
        <w:t>SLA</w:t>
      </w:r>
      <w:r w:rsidRPr="00D567A7">
        <w:rPr>
          <w:lang w:val="es-ES_tradnl"/>
        </w:rPr>
        <w:t>) bajos, con esperas de hasta 5 días.</w:t>
      </w:r>
    </w:p>
    <w:p w14:paraId="4D710425" w14:textId="77777777" w:rsidR="00D567A7" w:rsidRPr="00D567A7" w:rsidRDefault="00D567A7" w:rsidP="00D567A7">
      <w:pPr>
        <w:numPr>
          <w:ilvl w:val="0"/>
          <w:numId w:val="12"/>
        </w:numPr>
        <w:rPr>
          <w:lang w:val="es-ES_tradnl"/>
        </w:rPr>
      </w:pPr>
      <w:r w:rsidRPr="00D567A7">
        <w:rPr>
          <w:b/>
          <w:bCs/>
          <w:lang w:val="es-ES_tradnl"/>
        </w:rPr>
        <w:t>Requerimientos No Funcionales (Performance) y Pruebas Unitarias</w:t>
      </w:r>
    </w:p>
    <w:p w14:paraId="03B8DAC8" w14:textId="77777777" w:rsidR="00D567A7" w:rsidRPr="00D567A7" w:rsidRDefault="00D567A7" w:rsidP="00D567A7">
      <w:pPr>
        <w:numPr>
          <w:ilvl w:val="1"/>
          <w:numId w:val="12"/>
        </w:numPr>
        <w:rPr>
          <w:lang w:val="es-ES_tradnl"/>
        </w:rPr>
      </w:pPr>
      <w:r w:rsidRPr="00D567A7">
        <w:rPr>
          <w:lang w:val="es-ES_tradnl"/>
        </w:rPr>
        <w:t>Los requerimientos de desempeño llegan al final, y el tiempo de las pruebas se consume por los ciclos de desarrollo.</w:t>
      </w:r>
    </w:p>
    <w:p w14:paraId="65ADEE3D" w14:textId="05229DA8" w:rsidR="00D567A7" w:rsidRPr="00D567A7" w:rsidRDefault="00D567A7" w:rsidP="00D567A7">
      <w:pPr>
        <w:numPr>
          <w:ilvl w:val="1"/>
          <w:numId w:val="12"/>
        </w:numPr>
        <w:rPr>
          <w:lang w:val="es-ES_tradnl"/>
        </w:rPr>
      </w:pPr>
      <w:r w:rsidRPr="00D567A7">
        <w:rPr>
          <w:lang w:val="es-ES_tradnl"/>
        </w:rPr>
        <w:t xml:space="preserve">Las evidencias de las pruebas unitarias y de productividad a menudo son insuficientes, lo que obliga al equipo de </w:t>
      </w:r>
      <w:r w:rsidR="00735801">
        <w:rPr>
          <w:lang w:val="es-ES_tradnl"/>
        </w:rPr>
        <w:t>QA</w:t>
      </w:r>
      <w:r w:rsidRPr="00D567A7">
        <w:rPr>
          <w:lang w:val="es-ES_tradnl"/>
        </w:rPr>
        <w:t xml:space="preserve"> a devolver tareas.</w:t>
      </w:r>
    </w:p>
    <w:p w14:paraId="5C999438" w14:textId="77777777" w:rsidR="00D567A7" w:rsidRPr="00D567A7" w:rsidRDefault="00D567A7" w:rsidP="00D567A7">
      <w:pPr>
        <w:rPr>
          <w:b/>
          <w:bCs/>
          <w:lang w:val="es-ES_tradnl"/>
        </w:rPr>
      </w:pPr>
      <w:r w:rsidRPr="00D567A7">
        <w:rPr>
          <w:b/>
          <w:bCs/>
          <w:lang w:val="es-ES_tradnl"/>
        </w:rPr>
        <w:t>II. Planificación de Pruebas y Desviaciones</w:t>
      </w:r>
    </w:p>
    <w:p w14:paraId="0AD7FE11" w14:textId="77777777" w:rsidR="00D567A7" w:rsidRPr="00D567A7" w:rsidRDefault="00D567A7" w:rsidP="00D567A7">
      <w:pPr>
        <w:numPr>
          <w:ilvl w:val="0"/>
          <w:numId w:val="13"/>
        </w:numPr>
        <w:rPr>
          <w:lang w:val="es-ES_tradnl"/>
        </w:rPr>
      </w:pPr>
      <w:r w:rsidRPr="00D567A7">
        <w:rPr>
          <w:b/>
          <w:bCs/>
          <w:lang w:val="es-ES_tradnl"/>
        </w:rPr>
        <w:t>Ciclos de Prueba:</w:t>
      </w:r>
      <w:r w:rsidRPr="00D567A7">
        <w:rPr>
          <w:lang w:val="es-ES_tradnl"/>
        </w:rPr>
        <w:t> Aunque la estrategia documenta ciclos (Ciclo 1, Ciclo 2), la realidad es que no existen ciclos de un mes. En su lugar, el mismo caso de prueba se ejecuta varias veces en el mismo día.</w:t>
      </w:r>
    </w:p>
    <w:p w14:paraId="1B3A7DDD" w14:textId="77777777" w:rsidR="00D567A7" w:rsidRPr="00D567A7" w:rsidRDefault="00D567A7" w:rsidP="00D567A7">
      <w:pPr>
        <w:numPr>
          <w:ilvl w:val="0"/>
          <w:numId w:val="13"/>
        </w:numPr>
        <w:rPr>
          <w:lang w:val="es-ES_tradnl"/>
        </w:rPr>
      </w:pPr>
      <w:r w:rsidRPr="00D567A7">
        <w:rPr>
          <w:b/>
          <w:bCs/>
          <w:lang w:val="es-ES_tradnl"/>
        </w:rPr>
        <w:t>Herramienta de Planificación:</w:t>
      </w:r>
      <w:r w:rsidRPr="00D567A7">
        <w:rPr>
          <w:lang w:val="es-ES_tradnl"/>
        </w:rPr>
        <w:t> El equipo utiliza una herramienta interna que, con ayuda de inteligencia artificial y la consideración de riesgo, calcula la complejidad, horas y ciclos (de tres a cinco) para las HU.</w:t>
      </w:r>
    </w:p>
    <w:p w14:paraId="2DFB36CB" w14:textId="77777777" w:rsidR="00D567A7" w:rsidRPr="00D567A7" w:rsidRDefault="00D567A7" w:rsidP="00D567A7">
      <w:pPr>
        <w:numPr>
          <w:ilvl w:val="0"/>
          <w:numId w:val="13"/>
        </w:numPr>
        <w:rPr>
          <w:lang w:val="es-ES_tradnl"/>
        </w:rPr>
      </w:pPr>
      <w:r w:rsidRPr="00D567A7">
        <w:rPr>
          <w:b/>
          <w:bCs/>
          <w:lang w:val="es-ES_tradnl"/>
        </w:rPr>
        <w:t>Desviaciones:</w:t>
      </w:r>
      <w:r w:rsidRPr="00D567A7">
        <w:rPr>
          <w:lang w:val="es-ES_tradnl"/>
        </w:rPr>
        <w:t> Las entregas de desarrollo sufren retrasos constantes (ej. entregas planeadas para el 30 de abril se posponen hasta el 30 de mayo) sin mover la fecha límite final. Se han alcanzado desviaciones de hasta el 200% frente al objetivo del 10%.</w:t>
      </w:r>
    </w:p>
    <w:p w14:paraId="1971C35E" w14:textId="50D144E8" w:rsidR="00D567A7" w:rsidRPr="00D567A7" w:rsidRDefault="00D567A7" w:rsidP="00D567A7">
      <w:pPr>
        <w:numPr>
          <w:ilvl w:val="0"/>
          <w:numId w:val="13"/>
        </w:numPr>
        <w:rPr>
          <w:lang w:val="es-ES_tradnl"/>
        </w:rPr>
      </w:pPr>
      <w:r w:rsidRPr="00D567A7">
        <w:rPr>
          <w:b/>
          <w:bCs/>
          <w:lang w:val="es-ES_tradnl"/>
        </w:rPr>
        <w:t>Tamaño del Equipo:</w:t>
      </w:r>
      <w:r w:rsidRPr="00D567A7">
        <w:rPr>
          <w:lang w:val="es-ES_tradnl"/>
        </w:rPr>
        <w:t> </w:t>
      </w:r>
      <w:r w:rsidR="00DE06F3">
        <w:rPr>
          <w:lang w:val="es-ES_tradnl"/>
        </w:rPr>
        <w:t>Equipo QA</w:t>
      </w:r>
      <w:r w:rsidRPr="00D567A7">
        <w:rPr>
          <w:lang w:val="es-ES_tradnl"/>
        </w:rPr>
        <w:t xml:space="preserve"> considera que el número de </w:t>
      </w:r>
      <w:r w:rsidRPr="00D567A7">
        <w:rPr>
          <w:i/>
          <w:iCs/>
          <w:lang w:val="es-ES_tradnl"/>
        </w:rPr>
        <w:t>FTE</w:t>
      </w:r>
      <w:r w:rsidRPr="00D567A7">
        <w:rPr>
          <w:lang w:val="es-ES_tradnl"/>
        </w:rPr>
        <w:t> (</w:t>
      </w:r>
      <w:r w:rsidRPr="00D567A7">
        <w:rPr>
          <w:i/>
          <w:iCs/>
          <w:lang w:val="es-ES_tradnl"/>
        </w:rPr>
        <w:t>Full-Time Equivalent</w:t>
      </w:r>
      <w:r w:rsidRPr="00D567A7">
        <w:rPr>
          <w:lang w:val="es-ES_tradnl"/>
        </w:rPr>
        <w:t>) en QA es adecuado, ya que aumentar la capacidad solo generaría más defectos que el equipo de desarrollo no podría resolver a tiempo, dejando inactivo al equipo de QA.</w:t>
      </w:r>
    </w:p>
    <w:p w14:paraId="3C60BAC6" w14:textId="77777777" w:rsidR="00D567A7" w:rsidRPr="00D567A7" w:rsidRDefault="00D567A7" w:rsidP="00D567A7">
      <w:pPr>
        <w:rPr>
          <w:b/>
          <w:bCs/>
          <w:lang w:val="es-ES_tradnl"/>
        </w:rPr>
      </w:pPr>
      <w:r w:rsidRPr="00D567A7">
        <w:rPr>
          <w:b/>
          <w:bCs/>
          <w:lang w:val="es-ES_tradnl"/>
        </w:rPr>
        <w:t>III. Ejecución y Transición de Pruebas (SIT, Regresión y UAT)</w:t>
      </w:r>
    </w:p>
    <w:p w14:paraId="65EA1EA9" w14:textId="77777777" w:rsidR="00D567A7" w:rsidRPr="00D567A7" w:rsidRDefault="00D567A7" w:rsidP="00D567A7">
      <w:pPr>
        <w:numPr>
          <w:ilvl w:val="0"/>
          <w:numId w:val="14"/>
        </w:numPr>
        <w:rPr>
          <w:lang w:val="en-US"/>
        </w:rPr>
      </w:pPr>
      <w:r w:rsidRPr="00D567A7">
        <w:rPr>
          <w:b/>
          <w:bCs/>
          <w:lang w:val="es-ES_tradnl"/>
        </w:rPr>
        <w:t>SIT (System Integration Testing):</w:t>
      </w:r>
      <w:r w:rsidRPr="00D567A7">
        <w:rPr>
          <w:lang w:val="es-ES_tradnl"/>
        </w:rPr>
        <w:t xml:space="preserve"> La ejecución se realiza con escenarios y casos de prueba aprobados por Desarrollo y el </w:t>
      </w:r>
      <w:r w:rsidRPr="00D567A7">
        <w:rPr>
          <w:i/>
          <w:iCs/>
          <w:lang w:val="es-ES_tradnl"/>
        </w:rPr>
        <w:t>PO</w:t>
      </w:r>
      <w:r w:rsidRPr="00D567A7">
        <w:rPr>
          <w:lang w:val="es-ES_tradnl"/>
        </w:rPr>
        <w:t xml:space="preserve"> (Propietario de Producto). </w:t>
      </w:r>
      <w:r w:rsidRPr="00D567A7">
        <w:rPr>
          <w:lang w:val="en-US"/>
        </w:rPr>
        <w:t xml:space="preserve">Los </w:t>
      </w:r>
      <w:r w:rsidRPr="00D567A7">
        <w:rPr>
          <w:i/>
          <w:iCs/>
          <w:lang w:val="en-US"/>
        </w:rPr>
        <w:t>exit criteria</w:t>
      </w:r>
      <w:r w:rsidRPr="00D567A7">
        <w:rPr>
          <w:lang w:val="en-US"/>
        </w:rPr>
        <w:t> ceremoniales no se llevan a cabo.</w:t>
      </w:r>
    </w:p>
    <w:p w14:paraId="61A72657" w14:textId="77777777" w:rsidR="00D567A7" w:rsidRPr="00D567A7" w:rsidRDefault="00D567A7" w:rsidP="00D567A7">
      <w:pPr>
        <w:numPr>
          <w:ilvl w:val="0"/>
          <w:numId w:val="14"/>
        </w:numPr>
        <w:rPr>
          <w:lang w:val="es-ES_tradnl"/>
        </w:rPr>
      </w:pPr>
      <w:r w:rsidRPr="00D567A7">
        <w:rPr>
          <w:b/>
          <w:bCs/>
          <w:lang w:val="es-ES_tradnl"/>
        </w:rPr>
        <w:t>Regresión:</w:t>
      </w:r>
      <w:r w:rsidRPr="00D567A7">
        <w:rPr>
          <w:lang w:val="es-ES_tradnl"/>
        </w:rPr>
        <w:t> Las pruebas de regresión son obligatorias para el ambiente integrado, idealmente dos semanas después del SIT y antes del UAT, pero la realidad del proceso de desarrollo comprime todas las fases.</w:t>
      </w:r>
    </w:p>
    <w:p w14:paraId="6476B57D" w14:textId="77777777" w:rsidR="00D567A7" w:rsidRPr="00D567A7" w:rsidRDefault="00D567A7" w:rsidP="00D567A7">
      <w:pPr>
        <w:numPr>
          <w:ilvl w:val="0"/>
          <w:numId w:val="14"/>
        </w:numPr>
        <w:rPr>
          <w:lang w:val="en-US"/>
        </w:rPr>
      </w:pPr>
      <w:r w:rsidRPr="00D567A7">
        <w:rPr>
          <w:b/>
          <w:bCs/>
          <w:lang w:val="en-US"/>
        </w:rPr>
        <w:t>UAT (User Acceptance Testing):</w:t>
      </w:r>
    </w:p>
    <w:p w14:paraId="391D6D1A" w14:textId="77777777" w:rsidR="00D567A7" w:rsidRPr="00D567A7" w:rsidRDefault="00D567A7" w:rsidP="00D567A7">
      <w:pPr>
        <w:numPr>
          <w:ilvl w:val="1"/>
          <w:numId w:val="14"/>
        </w:numPr>
        <w:rPr>
          <w:lang w:val="es-ES_tradnl"/>
        </w:rPr>
      </w:pPr>
      <w:r w:rsidRPr="00D567A7">
        <w:rPr>
          <w:lang w:val="es-ES_tradnl"/>
        </w:rPr>
        <w:t xml:space="preserve">Se realiza una ceremonia de transición con una nueva matriz de casos de prueba y un </w:t>
      </w:r>
      <w:r w:rsidRPr="00D567A7">
        <w:rPr>
          <w:i/>
          <w:iCs/>
          <w:lang w:val="es-ES_tradnl"/>
        </w:rPr>
        <w:t>dashboard</w:t>
      </w:r>
      <w:r w:rsidRPr="00D567A7">
        <w:rPr>
          <w:lang w:val="es-ES_tradnl"/>
        </w:rPr>
        <w:t> específico.</w:t>
      </w:r>
    </w:p>
    <w:p w14:paraId="38EF5F7A" w14:textId="77777777" w:rsidR="00D567A7" w:rsidRPr="00D567A7" w:rsidRDefault="00D567A7" w:rsidP="00D567A7">
      <w:pPr>
        <w:numPr>
          <w:ilvl w:val="1"/>
          <w:numId w:val="14"/>
        </w:numPr>
        <w:rPr>
          <w:lang w:val="es-ES_tradnl"/>
        </w:rPr>
      </w:pPr>
      <w:r w:rsidRPr="00D567A7">
        <w:rPr>
          <w:b/>
          <w:bCs/>
          <w:lang w:val="es-ES_tradnl"/>
        </w:rPr>
        <w:t>Retraso:</w:t>
      </w:r>
      <w:r w:rsidRPr="00D567A7">
        <w:rPr>
          <w:lang w:val="es-ES_tradnl"/>
        </w:rPr>
        <w:t xml:space="preserve"> El equipo de </w:t>
      </w:r>
      <w:r w:rsidRPr="00D567A7">
        <w:rPr>
          <w:i/>
          <w:iCs/>
          <w:lang w:val="es-ES_tradnl"/>
        </w:rPr>
        <w:t>QA</w:t>
      </w:r>
      <w:r w:rsidRPr="00D567A7">
        <w:rPr>
          <w:lang w:val="es-ES_tradnl"/>
        </w:rPr>
        <w:t> debe apoyar en la ejecución del UAT porque el área de negocio tiene problemas de tiempo, lo que prolonga las pruebas de 4 semanas a 4 meses.</w:t>
      </w:r>
    </w:p>
    <w:p w14:paraId="522EADC6" w14:textId="77777777" w:rsidR="00D567A7" w:rsidRPr="00D567A7" w:rsidRDefault="00D567A7" w:rsidP="00D567A7">
      <w:pPr>
        <w:numPr>
          <w:ilvl w:val="1"/>
          <w:numId w:val="14"/>
        </w:numPr>
        <w:rPr>
          <w:lang w:val="es-ES_tradnl"/>
        </w:rPr>
      </w:pPr>
      <w:r w:rsidRPr="00D567A7">
        <w:rPr>
          <w:b/>
          <w:bCs/>
          <w:lang w:val="es-ES_tradnl"/>
        </w:rPr>
        <w:t>Alcance:</w:t>
      </w:r>
      <w:r w:rsidRPr="00D567A7">
        <w:rPr>
          <w:lang w:val="es-ES_tradnl"/>
        </w:rPr>
        <w:t> La falta de una cultura de pruebas en el grupo hace que los usuarios (por inseguridad) traigan casos de prueba no relacionados con el alcance (ej. temas de remesas al probar tarjetas de crédito).</w:t>
      </w:r>
    </w:p>
    <w:p w14:paraId="63CD78B1" w14:textId="77777777" w:rsidR="00D567A7" w:rsidRPr="00D567A7" w:rsidRDefault="00D567A7" w:rsidP="00D567A7">
      <w:pPr>
        <w:rPr>
          <w:b/>
          <w:bCs/>
          <w:lang w:val="es-ES_tradnl"/>
        </w:rPr>
      </w:pPr>
      <w:r w:rsidRPr="00D567A7">
        <w:rPr>
          <w:b/>
          <w:bCs/>
          <w:lang w:val="es-ES_tradnl"/>
        </w:rPr>
        <w:t>IV. Ambiente de Performance y Visión a Futuro</w:t>
      </w:r>
    </w:p>
    <w:p w14:paraId="5C9C107D" w14:textId="77777777" w:rsidR="00D567A7" w:rsidRPr="00D567A7" w:rsidRDefault="00D567A7" w:rsidP="00D567A7">
      <w:pPr>
        <w:numPr>
          <w:ilvl w:val="0"/>
          <w:numId w:val="15"/>
        </w:numPr>
        <w:rPr>
          <w:lang w:val="es-ES_tradnl"/>
        </w:rPr>
      </w:pPr>
      <w:r w:rsidRPr="00D567A7">
        <w:rPr>
          <w:b/>
          <w:bCs/>
          <w:lang w:val="es-ES_tradnl"/>
        </w:rPr>
        <w:t>Pruebas de Desempeño:</w:t>
      </w:r>
      <w:r w:rsidRPr="00D567A7">
        <w:rPr>
          <w:lang w:val="es-ES_tradnl"/>
        </w:rPr>
        <w:t xml:space="preserve"> Se realizan en </w:t>
      </w:r>
      <w:proofErr w:type="gramStart"/>
      <w:r w:rsidRPr="00D567A7">
        <w:rPr>
          <w:lang w:val="es-ES_tradnl"/>
        </w:rPr>
        <w:t>un ambiente pre-producción</w:t>
      </w:r>
      <w:proofErr w:type="gramEnd"/>
      <w:r w:rsidRPr="00D567A7">
        <w:rPr>
          <w:lang w:val="es-ES_tradnl"/>
        </w:rPr>
        <w:t xml:space="preserve"> "súper recortado" que está limitado a probar solo hasta 50 transacciones por minuto, insuficiente para 18,000 usuarios en la aplicación.</w:t>
      </w:r>
    </w:p>
    <w:p w14:paraId="6A3184B8" w14:textId="42B397BF" w:rsidR="00D567A7" w:rsidRPr="00D567A7" w:rsidRDefault="00D567A7" w:rsidP="00D567A7">
      <w:pPr>
        <w:numPr>
          <w:ilvl w:val="0"/>
          <w:numId w:val="15"/>
        </w:numPr>
        <w:rPr>
          <w:lang w:val="es-ES_tradnl"/>
        </w:rPr>
      </w:pPr>
      <w:r w:rsidRPr="00D567A7">
        <w:rPr>
          <w:b/>
          <w:bCs/>
          <w:lang w:val="es-ES_tradnl"/>
        </w:rPr>
        <w:t>Visión de Ambientes:</w:t>
      </w:r>
      <w:r w:rsidRPr="00D567A7">
        <w:rPr>
          <w:lang w:val="es-ES_tradnl"/>
        </w:rPr>
        <w:t> </w:t>
      </w:r>
      <w:r w:rsidR="00166201">
        <w:rPr>
          <w:lang w:val="es-ES_tradnl"/>
        </w:rPr>
        <w:t>QA</w:t>
      </w:r>
      <w:r w:rsidRPr="00D567A7">
        <w:rPr>
          <w:lang w:val="es-ES_tradnl"/>
        </w:rPr>
        <w:t xml:space="preserve"> es ahora responsable de solicitar y gestionar ambientes. La visión es habilitar ambientes de </w:t>
      </w:r>
      <w:r w:rsidRPr="00D567A7">
        <w:rPr>
          <w:i/>
          <w:iCs/>
          <w:lang w:val="es-ES_tradnl"/>
        </w:rPr>
        <w:t>QA</w:t>
      </w:r>
      <w:r w:rsidRPr="00D567A7">
        <w:rPr>
          <w:lang w:val="es-ES_tradnl"/>
        </w:rPr>
        <w:t> separados por producto (BPC, Launch, OPI, SEW, Apollo) antes de que converjan en el ambiente Homologado (</w:t>
      </w:r>
      <w:r w:rsidRPr="00D567A7">
        <w:rPr>
          <w:i/>
          <w:iCs/>
          <w:lang w:val="es-ES_tradnl"/>
        </w:rPr>
        <w:t>EIT</w:t>
      </w:r>
      <w:r w:rsidRPr="00D567A7">
        <w:rPr>
          <w:lang w:val="es-ES_tradnl"/>
        </w:rPr>
        <w:t>).</w:t>
      </w:r>
    </w:p>
    <w:p w14:paraId="08BD639C" w14:textId="77777777" w:rsidR="00D567A7" w:rsidRPr="00D567A7" w:rsidRDefault="00D567A7" w:rsidP="00D567A7">
      <w:pPr>
        <w:numPr>
          <w:ilvl w:val="0"/>
          <w:numId w:val="15"/>
        </w:numPr>
        <w:rPr>
          <w:lang w:val="es-ES_tradnl"/>
        </w:rPr>
      </w:pPr>
      <w:r w:rsidRPr="00D567A7">
        <w:rPr>
          <w:b/>
          <w:bCs/>
          <w:lang w:val="es-ES_tradnl"/>
        </w:rPr>
        <w:t>Herramientas:</w:t>
      </w:r>
      <w:r w:rsidRPr="00D567A7">
        <w:rPr>
          <w:lang w:val="es-ES_tradnl"/>
        </w:rPr>
        <w:t xml:space="preserve"> La estrategia de herramientas (de hace 4 años) está desactualizada. El plan es migrar la gestión de pruebas a </w:t>
      </w:r>
      <w:r w:rsidRPr="00D567A7">
        <w:rPr>
          <w:b/>
          <w:bCs/>
          <w:lang w:val="es-ES_tradnl"/>
        </w:rPr>
        <w:t>X-ray</w:t>
      </w:r>
      <w:r w:rsidRPr="00D567A7">
        <w:rPr>
          <w:lang w:val="es-ES_tradnl"/>
        </w:rPr>
        <w:t xml:space="preserve"> (integrado en </w:t>
      </w:r>
      <w:r w:rsidRPr="00D567A7">
        <w:rPr>
          <w:i/>
          <w:iCs/>
          <w:lang w:val="es-ES_tradnl"/>
        </w:rPr>
        <w:t>Jira</w:t>
      </w:r>
      <w:r w:rsidRPr="00D567A7">
        <w:rPr>
          <w:lang w:val="es-ES_tradnl"/>
        </w:rPr>
        <w:t xml:space="preserve">) para eliminar </w:t>
      </w:r>
      <w:r w:rsidRPr="00D567A7">
        <w:rPr>
          <w:i/>
          <w:iCs/>
          <w:lang w:val="es-ES_tradnl"/>
        </w:rPr>
        <w:t>dashboards</w:t>
      </w:r>
      <w:r w:rsidRPr="00D567A7">
        <w:rPr>
          <w:lang w:val="es-ES_tradnl"/>
        </w:rPr>
        <w:t> externos.</w:t>
      </w:r>
    </w:p>
    <w:p w14:paraId="64A30633" w14:textId="77777777" w:rsidR="00D567A7" w:rsidRPr="00D567A7" w:rsidRDefault="00D567A7" w:rsidP="00D567A7">
      <w:pPr>
        <w:rPr>
          <w:b/>
          <w:bCs/>
          <w:lang w:val="es-ES_tradnl"/>
        </w:rPr>
      </w:pPr>
      <w:r w:rsidRPr="00D567A7">
        <w:rPr>
          <w:b/>
          <w:bCs/>
          <w:lang w:val="es-ES_tradnl"/>
        </w:rPr>
        <w:t>V. Gestión de Defectos y Seguimiento</w:t>
      </w:r>
    </w:p>
    <w:p w14:paraId="5D31CB03" w14:textId="77777777" w:rsidR="00D567A7" w:rsidRPr="00D567A7" w:rsidRDefault="00D567A7" w:rsidP="00D567A7">
      <w:pPr>
        <w:numPr>
          <w:ilvl w:val="0"/>
          <w:numId w:val="16"/>
        </w:numPr>
        <w:rPr>
          <w:lang w:val="es-ES_tradnl"/>
        </w:rPr>
      </w:pPr>
      <w:r w:rsidRPr="00D567A7">
        <w:rPr>
          <w:b/>
          <w:bCs/>
          <w:lang w:val="es-ES_tradnl"/>
        </w:rPr>
        <w:t>SLAs de Defectos:</w:t>
      </w:r>
      <w:r w:rsidRPr="00D567A7">
        <w:rPr>
          <w:lang w:val="es-ES_tradnl"/>
        </w:rPr>
        <w:t xml:space="preserve"> Los </w:t>
      </w:r>
      <w:r w:rsidRPr="00D567A7">
        <w:rPr>
          <w:i/>
          <w:iCs/>
          <w:lang w:val="es-ES_tradnl"/>
        </w:rPr>
        <w:t>SLA</w:t>
      </w:r>
      <w:r w:rsidRPr="00D567A7">
        <w:rPr>
          <w:lang w:val="es-ES_tradnl"/>
        </w:rPr>
        <w:t> definidos para la resolución de defectos (ej. 4 horas para un crítico) se consideran demasiado agresivos y rara vez se cumplen, aunque no se han propuesto plazos más realistas.</w:t>
      </w:r>
    </w:p>
    <w:p w14:paraId="5A460EED" w14:textId="77777777" w:rsidR="00D567A7" w:rsidRPr="00D567A7" w:rsidRDefault="00D567A7" w:rsidP="00D567A7">
      <w:pPr>
        <w:numPr>
          <w:ilvl w:val="0"/>
          <w:numId w:val="16"/>
        </w:numPr>
        <w:rPr>
          <w:lang w:val="es-ES_tradnl"/>
        </w:rPr>
      </w:pPr>
      <w:r w:rsidRPr="00D567A7">
        <w:rPr>
          <w:b/>
          <w:bCs/>
          <w:lang w:val="es-ES_tradnl"/>
        </w:rPr>
        <w:t>Flujo de Defectos:</w:t>
      </w:r>
      <w:r w:rsidRPr="00D567A7">
        <w:rPr>
          <w:lang w:val="es-ES_tradnl"/>
        </w:rPr>
        <w:t xml:space="preserve"> El flujo está configurado en </w:t>
      </w:r>
      <w:r w:rsidRPr="00D567A7">
        <w:rPr>
          <w:i/>
          <w:iCs/>
          <w:lang w:val="es-ES_tradnl"/>
        </w:rPr>
        <w:t>Value Edge</w:t>
      </w:r>
      <w:r w:rsidRPr="00D567A7">
        <w:rPr>
          <w:lang w:val="es-ES_tradnl"/>
        </w:rPr>
        <w:t xml:space="preserve">. Un </w:t>
      </w:r>
      <w:r w:rsidRPr="00D567A7">
        <w:rPr>
          <w:i/>
          <w:iCs/>
          <w:lang w:val="es-ES_tradnl"/>
        </w:rPr>
        <w:t>Defect Manager</w:t>
      </w:r>
      <w:r w:rsidRPr="00D567A7">
        <w:rPr>
          <w:lang w:val="es-ES_tradnl"/>
        </w:rPr>
        <w:t xml:space="preserve"> realiza el </w:t>
      </w:r>
      <w:r w:rsidRPr="00D567A7">
        <w:rPr>
          <w:i/>
          <w:iCs/>
          <w:lang w:val="es-ES_tradnl"/>
        </w:rPr>
        <w:t>triage</w:t>
      </w:r>
      <w:r w:rsidRPr="00D567A7">
        <w:rPr>
          <w:lang w:val="es-ES_tradnl"/>
        </w:rPr>
        <w:t> y reasigna defectos a los múltiples proveedores (</w:t>
      </w:r>
      <w:r w:rsidRPr="00D567A7">
        <w:rPr>
          <w:i/>
          <w:iCs/>
          <w:lang w:val="es-ES_tradnl"/>
        </w:rPr>
        <w:t>vendors</w:t>
      </w:r>
      <w:r w:rsidRPr="00D567A7">
        <w:rPr>
          <w:lang w:val="es-ES_tradnl"/>
        </w:rPr>
        <w:t>).</w:t>
      </w:r>
    </w:p>
    <w:p w14:paraId="4CB775F6" w14:textId="77777777" w:rsidR="00D567A7" w:rsidRPr="00D567A7" w:rsidRDefault="00D567A7" w:rsidP="00D567A7">
      <w:pPr>
        <w:numPr>
          <w:ilvl w:val="0"/>
          <w:numId w:val="16"/>
        </w:numPr>
        <w:rPr>
          <w:lang w:val="es-ES_tradnl"/>
        </w:rPr>
      </w:pPr>
      <w:r w:rsidRPr="00D567A7">
        <w:rPr>
          <w:b/>
          <w:bCs/>
          <w:lang w:val="es-ES_tradnl"/>
        </w:rPr>
        <w:t>Reporte:</w:t>
      </w:r>
      <w:r w:rsidRPr="00D567A7">
        <w:rPr>
          <w:lang w:val="es-ES_tradnl"/>
        </w:rPr>
        <w:t> El seguimiento se realiza mediante dos reuniones diarias (</w:t>
      </w:r>
      <w:r w:rsidRPr="00D567A7">
        <w:rPr>
          <w:i/>
          <w:iCs/>
          <w:lang w:val="es-ES_tradnl"/>
        </w:rPr>
        <w:t>dailies</w:t>
      </w:r>
      <w:r w:rsidRPr="00D567A7">
        <w:rPr>
          <w:lang w:val="es-ES_tradnl"/>
        </w:rPr>
        <w:t>): una por la mañana para ver defectos e impedimentos, y otra a las 7 de la noche.</w:t>
      </w:r>
    </w:p>
    <w:p w14:paraId="35352C5E" w14:textId="77777777" w:rsidR="00D567A7" w:rsidRPr="00D567A7" w:rsidRDefault="00D567A7" w:rsidP="00D567A7">
      <w:pPr>
        <w:numPr>
          <w:ilvl w:val="0"/>
          <w:numId w:val="16"/>
        </w:numPr>
        <w:rPr>
          <w:lang w:val="es-ES_tradnl"/>
        </w:rPr>
      </w:pPr>
      <w:r w:rsidRPr="00D567A7">
        <w:rPr>
          <w:b/>
          <w:bCs/>
          <w:lang w:val="es-ES_tradnl"/>
        </w:rPr>
        <w:t>Comité de Estatus:</w:t>
      </w:r>
      <w:r w:rsidRPr="00D567A7">
        <w:rPr>
          <w:lang w:val="es-ES_tradnl"/>
        </w:rPr>
        <w:t> Cada dos semanas se realiza un comité con Carlos López Montesuma (con 57 invitados) donde se presenta el estatus cerrado, riesgos y dependencias.</w:t>
      </w:r>
    </w:p>
    <w:p w14:paraId="53F3EF5C" w14:textId="77777777" w:rsidR="00D567A7" w:rsidRPr="00D567A7" w:rsidRDefault="00D567A7" w:rsidP="00D567A7">
      <w:pPr>
        <w:rPr>
          <w:b/>
          <w:bCs/>
          <w:lang w:val="en-US"/>
        </w:rPr>
      </w:pPr>
      <w:r w:rsidRPr="00D567A7">
        <w:rPr>
          <w:b/>
          <w:bCs/>
          <w:lang w:val="en-US"/>
        </w:rPr>
        <w:t>VI. Lección Aprendida Histórica</w:t>
      </w:r>
    </w:p>
    <w:p w14:paraId="503274C3" w14:textId="77777777" w:rsidR="00D567A7" w:rsidRPr="00D567A7" w:rsidRDefault="00D567A7" w:rsidP="00D567A7">
      <w:pPr>
        <w:numPr>
          <w:ilvl w:val="0"/>
          <w:numId w:val="17"/>
        </w:numPr>
        <w:rPr>
          <w:lang w:val="es-ES_tradnl"/>
        </w:rPr>
      </w:pPr>
      <w:r w:rsidRPr="00D567A7">
        <w:rPr>
          <w:lang w:val="es-ES_tradnl"/>
        </w:rPr>
        <w:t>Se tuvo que repetir completamente el proceso de QA debido a que la definición inicial del alcance no fue correcta y las historias de usuario evolucionaron por sesiones informales.</w:t>
      </w:r>
    </w:p>
    <w:p w14:paraId="3AB63C99" w14:textId="77777777" w:rsidR="00D567A7" w:rsidRPr="00D567A7" w:rsidRDefault="00D567A7" w:rsidP="00D567A7">
      <w:pPr>
        <w:numPr>
          <w:ilvl w:val="0"/>
          <w:numId w:val="17"/>
        </w:numPr>
        <w:rPr>
          <w:lang w:val="es-ES_tradnl"/>
        </w:rPr>
      </w:pPr>
      <w:r w:rsidRPr="00D567A7">
        <w:rPr>
          <w:lang w:val="es-ES_tradnl"/>
        </w:rPr>
        <w:t>Los usuarios de negocio no participaron activamente en la definición y revisión de casos de prueba, y solo se pronunciaron al final cuando faltaban elementos esenciales.</w:t>
      </w:r>
    </w:p>
    <w:p w14:paraId="7C3F98AA" w14:textId="77777777" w:rsidR="00D567A7" w:rsidRPr="00D567A7" w:rsidRDefault="00D567A7" w:rsidP="00D567A7">
      <w:pPr>
        <w:numPr>
          <w:ilvl w:val="0"/>
          <w:numId w:val="17"/>
        </w:numPr>
        <w:rPr>
          <w:lang w:val="es-ES_tradnl"/>
        </w:rPr>
      </w:pPr>
      <w:r w:rsidRPr="00D567A7">
        <w:rPr>
          <w:lang w:val="es-ES_tradnl"/>
        </w:rPr>
        <w:t>La organización adquirió la lección: el usuario de negocio ahora entiende la importancia de las historias de usuario para asegurar la aprobación de lo que desea.</w:t>
      </w:r>
    </w:p>
    <w:p w14:paraId="2ED09EDB" w14:textId="77777777" w:rsidR="00D567A7" w:rsidRPr="00D567A7" w:rsidRDefault="00D567A7" w:rsidP="00D567A7">
      <w:pPr>
        <w:rPr>
          <w:b/>
          <w:bCs/>
          <w:lang w:val="en-US"/>
        </w:rPr>
      </w:pPr>
      <w:r w:rsidRPr="00D567A7">
        <w:rPr>
          <w:b/>
          <w:bCs/>
          <w:lang w:val="en-US"/>
        </w:rPr>
        <w:t>-----VII. Próximos Pasos</w:t>
      </w:r>
    </w:p>
    <w:p w14:paraId="67796AE7" w14:textId="405B4F82" w:rsidR="00D567A7" w:rsidRPr="00D567A7" w:rsidRDefault="00D567A7" w:rsidP="00D567A7">
      <w:pPr>
        <w:numPr>
          <w:ilvl w:val="0"/>
          <w:numId w:val="18"/>
        </w:numPr>
        <w:rPr>
          <w:lang w:val="es-ES_tradnl"/>
        </w:rPr>
      </w:pPr>
      <w:r w:rsidRPr="00D567A7">
        <w:rPr>
          <w:b/>
          <w:bCs/>
          <w:lang w:val="es-ES_tradnl"/>
        </w:rPr>
        <w:t>Actualizar Documento (</w:t>
      </w:r>
      <w:r w:rsidR="00543184">
        <w:rPr>
          <w:b/>
          <w:bCs/>
          <w:lang w:val="es-ES_tradnl"/>
        </w:rPr>
        <w:t>Equipo QA</w:t>
      </w:r>
      <w:r w:rsidRPr="00D567A7">
        <w:rPr>
          <w:b/>
          <w:bCs/>
          <w:lang w:val="es-ES_tradnl"/>
        </w:rPr>
        <w:t>):</w:t>
      </w:r>
      <w:r w:rsidRPr="00D567A7">
        <w:rPr>
          <w:lang w:val="es-ES_tradnl"/>
        </w:rPr>
        <w:t> Revisar y actualizar la</w:t>
      </w:r>
      <w:r w:rsidR="00543184">
        <w:rPr>
          <w:lang w:val="es-ES_tradnl"/>
        </w:rPr>
        <w:t xml:space="preserve"> estrategia, sobre todo</w:t>
      </w:r>
      <w:r w:rsidRPr="00D567A7">
        <w:rPr>
          <w:lang w:val="es-ES_tradnl"/>
        </w:rPr>
        <w:t xml:space="preserve"> diapositivas de herramientas y diagramas de entornos para reflejar el estado actual de gestión, desempeño y automatización.</w:t>
      </w:r>
    </w:p>
    <w:p w14:paraId="380701B3" w14:textId="2ABDA43C" w:rsidR="00D567A7" w:rsidRPr="00D567A7" w:rsidRDefault="00D567A7" w:rsidP="00D567A7">
      <w:pPr>
        <w:numPr>
          <w:ilvl w:val="0"/>
          <w:numId w:val="18"/>
        </w:numPr>
        <w:rPr>
          <w:lang w:val="es-ES_tradnl"/>
        </w:rPr>
      </w:pPr>
      <w:r w:rsidRPr="00D567A7">
        <w:rPr>
          <w:b/>
          <w:bCs/>
          <w:lang w:val="es-ES_tradnl"/>
        </w:rPr>
        <w:t>Agendar Reunión (</w:t>
      </w:r>
      <w:r w:rsidR="00D15A25">
        <w:rPr>
          <w:b/>
          <w:bCs/>
          <w:lang w:val="es-ES_tradnl"/>
        </w:rPr>
        <w:t>Accenture</w:t>
      </w:r>
      <w:r w:rsidRPr="00D567A7">
        <w:rPr>
          <w:b/>
          <w:bCs/>
          <w:lang w:val="es-ES_tradnl"/>
        </w:rPr>
        <w:t>):</w:t>
      </w:r>
      <w:r w:rsidRPr="00D567A7">
        <w:rPr>
          <w:lang w:val="es-ES_tradnl"/>
        </w:rPr>
        <w:t> Buscar un espacio a principios de la próxima semana para discutir la</w:t>
      </w:r>
      <w:r w:rsidR="00543184">
        <w:rPr>
          <w:lang w:val="es-ES_tradnl"/>
        </w:rPr>
        <w:t>s bases del plan integral en el que está trabajando ACC</w:t>
      </w:r>
      <w:r w:rsidRPr="00D567A7">
        <w:rPr>
          <w:lang w:val="es-ES_tradnl"/>
        </w:rPr>
        <w:t>.</w:t>
      </w:r>
    </w:p>
    <w:p w14:paraId="7FD90B70" w14:textId="0BD6DF9F" w:rsidR="00D567A7" w:rsidRPr="00D567A7" w:rsidRDefault="00D567A7" w:rsidP="00D567A7">
      <w:pPr>
        <w:numPr>
          <w:ilvl w:val="0"/>
          <w:numId w:val="18"/>
        </w:numPr>
        <w:rPr>
          <w:lang w:val="es-ES_tradnl"/>
        </w:rPr>
      </w:pPr>
      <w:r w:rsidRPr="00D567A7">
        <w:rPr>
          <w:b/>
          <w:bCs/>
          <w:lang w:val="es-ES_tradnl"/>
        </w:rPr>
        <w:t>Revisar Estrategia (</w:t>
      </w:r>
      <w:r w:rsidR="001204CF">
        <w:rPr>
          <w:b/>
          <w:bCs/>
          <w:lang w:val="es-ES_tradnl"/>
        </w:rPr>
        <w:t>Accenture</w:t>
      </w:r>
      <w:r w:rsidRPr="00D567A7">
        <w:rPr>
          <w:b/>
          <w:bCs/>
          <w:lang w:val="es-ES_tradnl"/>
        </w:rPr>
        <w:t>):</w:t>
      </w:r>
      <w:r w:rsidRPr="00D567A7">
        <w:rPr>
          <w:lang w:val="es-ES_tradnl"/>
        </w:rPr>
        <w:t xml:space="preserve"> Socializar las brechas críticas, remediaciones, y el enfoque propuesto para el </w:t>
      </w:r>
      <w:r w:rsidRPr="00D567A7">
        <w:rPr>
          <w:i/>
          <w:iCs/>
          <w:lang w:val="es-ES_tradnl"/>
        </w:rPr>
        <w:t>Roadmap</w:t>
      </w:r>
      <w:r w:rsidRPr="00D567A7">
        <w:rPr>
          <w:lang w:val="es-ES_tradnl"/>
        </w:rPr>
        <w:t xml:space="preserve"> integrado, alineando los supuestos de tiempos de pruebas </w:t>
      </w:r>
      <w:r w:rsidR="001204CF" w:rsidRPr="001204CF">
        <w:t>(</w:t>
      </w:r>
      <w:r w:rsidR="001204CF">
        <w:t>best practices</w:t>
      </w:r>
      <w:r w:rsidR="001204CF" w:rsidRPr="001204CF">
        <w:t>)</w:t>
      </w:r>
      <w:r w:rsidR="001204CF" w:rsidRPr="001204CF">
        <w:rPr>
          <w:lang w:val="es-ES_tradnl"/>
        </w:rPr>
        <w:t xml:space="preserve"> </w:t>
      </w:r>
      <w:r w:rsidRPr="00D567A7">
        <w:rPr>
          <w:lang w:val="es-ES_tradnl"/>
        </w:rPr>
        <w:t>con los participantes.</w:t>
      </w:r>
    </w:p>
    <w:p w14:paraId="13C9577C" w14:textId="77777777" w:rsidR="001B42A6" w:rsidRPr="00D567A7" w:rsidRDefault="001B42A6" w:rsidP="00D567A7">
      <w:pPr>
        <w:rPr>
          <w:lang w:val="es-ES_tradnl"/>
        </w:rPr>
      </w:pPr>
    </w:p>
    <w:sectPr w:rsidR="001B42A6" w:rsidRPr="00D567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1117"/>
    <w:multiLevelType w:val="multilevel"/>
    <w:tmpl w:val="BB9C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432A7"/>
    <w:multiLevelType w:val="multilevel"/>
    <w:tmpl w:val="F32A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A7ACD"/>
    <w:multiLevelType w:val="multilevel"/>
    <w:tmpl w:val="CF7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62BEF"/>
    <w:multiLevelType w:val="multilevel"/>
    <w:tmpl w:val="459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01B67"/>
    <w:multiLevelType w:val="multilevel"/>
    <w:tmpl w:val="031A3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C4881"/>
    <w:multiLevelType w:val="multilevel"/>
    <w:tmpl w:val="9944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7417E"/>
    <w:multiLevelType w:val="multilevel"/>
    <w:tmpl w:val="8C4E2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F76F3"/>
    <w:multiLevelType w:val="multilevel"/>
    <w:tmpl w:val="4F34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CF516E"/>
    <w:multiLevelType w:val="multilevel"/>
    <w:tmpl w:val="4EA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12E73"/>
    <w:multiLevelType w:val="multilevel"/>
    <w:tmpl w:val="3E16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C202D"/>
    <w:multiLevelType w:val="multilevel"/>
    <w:tmpl w:val="2D80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D51CD"/>
    <w:multiLevelType w:val="multilevel"/>
    <w:tmpl w:val="C57A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F5379A"/>
    <w:multiLevelType w:val="multilevel"/>
    <w:tmpl w:val="8140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62C86"/>
    <w:multiLevelType w:val="multilevel"/>
    <w:tmpl w:val="B66E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85C46"/>
    <w:multiLevelType w:val="multilevel"/>
    <w:tmpl w:val="6888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D133E"/>
    <w:multiLevelType w:val="multilevel"/>
    <w:tmpl w:val="C53E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9000F"/>
    <w:multiLevelType w:val="multilevel"/>
    <w:tmpl w:val="F4E4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8878BD"/>
    <w:multiLevelType w:val="multilevel"/>
    <w:tmpl w:val="7042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903770">
    <w:abstractNumId w:val="9"/>
  </w:num>
  <w:num w:numId="2" w16cid:durableId="1829244899">
    <w:abstractNumId w:val="7"/>
  </w:num>
  <w:num w:numId="3" w16cid:durableId="1475216009">
    <w:abstractNumId w:val="2"/>
  </w:num>
  <w:num w:numId="4" w16cid:durableId="485587503">
    <w:abstractNumId w:val="11"/>
  </w:num>
  <w:num w:numId="5" w16cid:durableId="92552618">
    <w:abstractNumId w:val="6"/>
  </w:num>
  <w:num w:numId="6" w16cid:durableId="1418475923">
    <w:abstractNumId w:val="16"/>
  </w:num>
  <w:num w:numId="7" w16cid:durableId="1191407634">
    <w:abstractNumId w:val="3"/>
  </w:num>
  <w:num w:numId="8" w16cid:durableId="561406865">
    <w:abstractNumId w:val="5"/>
  </w:num>
  <w:num w:numId="9" w16cid:durableId="1397703291">
    <w:abstractNumId w:val="17"/>
  </w:num>
  <w:num w:numId="10" w16cid:durableId="63766816">
    <w:abstractNumId w:val="1"/>
  </w:num>
  <w:num w:numId="11" w16cid:durableId="1564832064">
    <w:abstractNumId w:val="10"/>
  </w:num>
  <w:num w:numId="12" w16cid:durableId="1709865978">
    <w:abstractNumId w:val="4"/>
  </w:num>
  <w:num w:numId="13" w16cid:durableId="1741252133">
    <w:abstractNumId w:val="15"/>
  </w:num>
  <w:num w:numId="14" w16cid:durableId="1135367532">
    <w:abstractNumId w:val="8"/>
  </w:num>
  <w:num w:numId="15" w16cid:durableId="1083988333">
    <w:abstractNumId w:val="12"/>
  </w:num>
  <w:num w:numId="16" w16cid:durableId="331416868">
    <w:abstractNumId w:val="13"/>
  </w:num>
  <w:num w:numId="17" w16cid:durableId="1149128689">
    <w:abstractNumId w:val="14"/>
  </w:num>
  <w:num w:numId="18" w16cid:durableId="470445592">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02"/>
    <w:rsid w:val="00001247"/>
    <w:rsid w:val="000522D0"/>
    <w:rsid w:val="000A5699"/>
    <w:rsid w:val="000A7A87"/>
    <w:rsid w:val="000C7416"/>
    <w:rsid w:val="00110103"/>
    <w:rsid w:val="001204CF"/>
    <w:rsid w:val="00142357"/>
    <w:rsid w:val="00166201"/>
    <w:rsid w:val="001B42A6"/>
    <w:rsid w:val="001E1589"/>
    <w:rsid w:val="001F2124"/>
    <w:rsid w:val="0020618C"/>
    <w:rsid w:val="00256DFA"/>
    <w:rsid w:val="002718DE"/>
    <w:rsid w:val="00306953"/>
    <w:rsid w:val="003570FF"/>
    <w:rsid w:val="003A16F3"/>
    <w:rsid w:val="003C5F30"/>
    <w:rsid w:val="004024D8"/>
    <w:rsid w:val="00403722"/>
    <w:rsid w:val="00482902"/>
    <w:rsid w:val="00495533"/>
    <w:rsid w:val="00514845"/>
    <w:rsid w:val="00543184"/>
    <w:rsid w:val="005574CE"/>
    <w:rsid w:val="00586270"/>
    <w:rsid w:val="006008FE"/>
    <w:rsid w:val="00602FD6"/>
    <w:rsid w:val="006562BE"/>
    <w:rsid w:val="00677D2F"/>
    <w:rsid w:val="00682E4C"/>
    <w:rsid w:val="006943FC"/>
    <w:rsid w:val="006A1872"/>
    <w:rsid w:val="006B582C"/>
    <w:rsid w:val="006F5404"/>
    <w:rsid w:val="00726C37"/>
    <w:rsid w:val="00735801"/>
    <w:rsid w:val="00795C40"/>
    <w:rsid w:val="007B0C45"/>
    <w:rsid w:val="00832D9D"/>
    <w:rsid w:val="00901C05"/>
    <w:rsid w:val="00A600B0"/>
    <w:rsid w:val="00A76CB1"/>
    <w:rsid w:val="00AA3A31"/>
    <w:rsid w:val="00AE3F6D"/>
    <w:rsid w:val="00AF66D5"/>
    <w:rsid w:val="00B06320"/>
    <w:rsid w:val="00B067EC"/>
    <w:rsid w:val="00B30B78"/>
    <w:rsid w:val="00B5798C"/>
    <w:rsid w:val="00B63C6F"/>
    <w:rsid w:val="00B70FBC"/>
    <w:rsid w:val="00B96D76"/>
    <w:rsid w:val="00BB20C3"/>
    <w:rsid w:val="00BF7F12"/>
    <w:rsid w:val="00C054C3"/>
    <w:rsid w:val="00C1482F"/>
    <w:rsid w:val="00C161AD"/>
    <w:rsid w:val="00C219AB"/>
    <w:rsid w:val="00C259D1"/>
    <w:rsid w:val="00CB5086"/>
    <w:rsid w:val="00D15A25"/>
    <w:rsid w:val="00D567A7"/>
    <w:rsid w:val="00D86E3D"/>
    <w:rsid w:val="00DE06F3"/>
    <w:rsid w:val="00E236FC"/>
    <w:rsid w:val="00E33A7E"/>
    <w:rsid w:val="00E4462A"/>
    <w:rsid w:val="00E70C03"/>
    <w:rsid w:val="00E82D87"/>
    <w:rsid w:val="00F13F1B"/>
    <w:rsid w:val="00F54A69"/>
    <w:rsid w:val="00F75198"/>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1C7A"/>
  <w15:chartTrackingRefBased/>
  <w15:docId w15:val="{D8FD1CF0-792D-443C-A495-6C117987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902"/>
    <w:rPr>
      <w:rFonts w:eastAsiaTheme="majorEastAsia" w:cstheme="majorBidi"/>
      <w:color w:val="272727" w:themeColor="text1" w:themeTint="D8"/>
    </w:rPr>
  </w:style>
  <w:style w:type="paragraph" w:styleId="Title">
    <w:name w:val="Title"/>
    <w:basedOn w:val="Normal"/>
    <w:next w:val="Normal"/>
    <w:link w:val="TitleChar"/>
    <w:uiPriority w:val="10"/>
    <w:qFormat/>
    <w:rsid w:val="00482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902"/>
    <w:pPr>
      <w:spacing w:before="160"/>
      <w:jc w:val="center"/>
    </w:pPr>
    <w:rPr>
      <w:i/>
      <w:iCs/>
      <w:color w:val="404040" w:themeColor="text1" w:themeTint="BF"/>
    </w:rPr>
  </w:style>
  <w:style w:type="character" w:customStyle="1" w:styleId="QuoteChar">
    <w:name w:val="Quote Char"/>
    <w:basedOn w:val="DefaultParagraphFont"/>
    <w:link w:val="Quote"/>
    <w:uiPriority w:val="29"/>
    <w:rsid w:val="00482902"/>
    <w:rPr>
      <w:i/>
      <w:iCs/>
      <w:color w:val="404040" w:themeColor="text1" w:themeTint="BF"/>
    </w:rPr>
  </w:style>
  <w:style w:type="paragraph" w:styleId="ListParagraph">
    <w:name w:val="List Paragraph"/>
    <w:basedOn w:val="Normal"/>
    <w:uiPriority w:val="34"/>
    <w:qFormat/>
    <w:rsid w:val="00482902"/>
    <w:pPr>
      <w:ind w:left="720"/>
      <w:contextualSpacing/>
    </w:pPr>
  </w:style>
  <w:style w:type="character" w:styleId="IntenseEmphasis">
    <w:name w:val="Intense Emphasis"/>
    <w:basedOn w:val="DefaultParagraphFont"/>
    <w:uiPriority w:val="21"/>
    <w:qFormat/>
    <w:rsid w:val="00482902"/>
    <w:rPr>
      <w:i/>
      <w:iCs/>
      <w:color w:val="0F4761" w:themeColor="accent1" w:themeShade="BF"/>
    </w:rPr>
  </w:style>
  <w:style w:type="paragraph" w:styleId="IntenseQuote">
    <w:name w:val="Intense Quote"/>
    <w:basedOn w:val="Normal"/>
    <w:next w:val="Normal"/>
    <w:link w:val="IntenseQuoteChar"/>
    <w:uiPriority w:val="30"/>
    <w:qFormat/>
    <w:rsid w:val="00482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902"/>
    <w:rPr>
      <w:i/>
      <w:iCs/>
      <w:color w:val="0F4761" w:themeColor="accent1" w:themeShade="BF"/>
    </w:rPr>
  </w:style>
  <w:style w:type="character" w:styleId="IntenseReference">
    <w:name w:val="Intense Reference"/>
    <w:basedOn w:val="DefaultParagraphFont"/>
    <w:uiPriority w:val="32"/>
    <w:qFormat/>
    <w:rsid w:val="00482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81CA7D04-B064-4F6F-BD04-E0A425A608C7}">
  <ds:schemaRefs>
    <ds:schemaRef ds:uri="http://schemas.openxmlformats.org/officeDocument/2006/bibliography"/>
  </ds:schemaRefs>
</ds:datastoreItem>
</file>

<file path=customXml/itemProps2.xml><?xml version="1.0" encoding="utf-8"?>
<ds:datastoreItem xmlns:ds="http://schemas.openxmlformats.org/officeDocument/2006/customXml" ds:itemID="{588D12F8-C6EF-435A-A210-1E51AD97EF95}"/>
</file>

<file path=customXml/itemProps3.xml><?xml version="1.0" encoding="utf-8"?>
<ds:datastoreItem xmlns:ds="http://schemas.openxmlformats.org/officeDocument/2006/customXml" ds:itemID="{21B5C92D-92DC-467E-8E05-556D3AD5F009}"/>
</file>

<file path=customXml/itemProps4.xml><?xml version="1.0" encoding="utf-8"?>
<ds:datastoreItem xmlns:ds="http://schemas.openxmlformats.org/officeDocument/2006/customXml" ds:itemID="{ECA9A344-1217-4665-92E7-F0315E4B5F8C}"/>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16</TotalTime>
  <Pages>4</Pages>
  <Words>1053</Words>
  <Characters>5680</Characters>
  <Application>Microsoft Office Word</Application>
  <DocSecurity>0</DocSecurity>
  <Lines>132</Lines>
  <Paragraphs>39</Paragraphs>
  <ScaleCrop>false</ScaleCrop>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13</cp:revision>
  <dcterms:created xsi:type="dcterms:W3CDTF">2026-04-30T00:53:00Z</dcterms:created>
  <dcterms:modified xsi:type="dcterms:W3CDTF">2026-04-30T01:08:00Z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