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F8CB" w14:textId="77777777" w:rsidR="006A1872" w:rsidRDefault="00677D2F" w:rsidP="00677D2F">
      <w:pPr>
        <w:rPr>
          <w:lang w:val="es-ES_tradnl"/>
        </w:rPr>
      </w:pPr>
      <w:r w:rsidRPr="00677D2F">
        <w:rPr>
          <w:b/>
          <w:bCs/>
          <w:lang w:val="es-ES_tradnl"/>
        </w:rPr>
        <w:t>Minutas Detalladas de Reunión</w:t>
      </w:r>
      <w:r w:rsidRPr="00677D2F">
        <w:rPr>
          <w:lang w:val="es-ES_tradnl"/>
        </w:rPr>
        <w:br/>
      </w:r>
      <w:r w:rsidRPr="00677D2F">
        <w:rPr>
          <w:lang w:val="es-ES_tradnl"/>
        </w:rPr>
        <w:br/>
      </w:r>
      <w:r w:rsidRPr="00677D2F">
        <w:rPr>
          <w:b/>
          <w:bCs/>
          <w:lang w:val="es-ES_tradnl"/>
        </w:rPr>
        <w:t>Título:</w:t>
      </w:r>
      <w:r w:rsidRPr="00677D2F">
        <w:rPr>
          <w:lang w:val="es-ES_tradnl"/>
        </w:rPr>
        <w:t xml:space="preserve"> Plan </w:t>
      </w:r>
      <w:proofErr w:type="gramStart"/>
      <w:r w:rsidRPr="00677D2F">
        <w:rPr>
          <w:lang w:val="es-ES_tradnl"/>
        </w:rPr>
        <w:t>Director</w:t>
      </w:r>
      <w:proofErr w:type="gramEnd"/>
      <w:r w:rsidRPr="00677D2F">
        <w:rPr>
          <w:lang w:val="es-ES_tradnl"/>
        </w:rPr>
        <w:t xml:space="preserve"> | </w:t>
      </w:r>
      <w:proofErr w:type="spellStart"/>
      <w:r w:rsidRPr="00677D2F">
        <w:rPr>
          <w:lang w:val="es-ES_tradnl"/>
        </w:rPr>
        <w:t>Roadmap</w:t>
      </w:r>
      <w:proofErr w:type="spellEnd"/>
      <w:r w:rsidRPr="00677D2F">
        <w:rPr>
          <w:lang w:val="es-ES_tradnl"/>
        </w:rPr>
        <w:t xml:space="preserve"> Actualizado</w:t>
      </w:r>
      <w:r w:rsidRPr="00677D2F">
        <w:rPr>
          <w:lang w:val="es-ES_tradnl"/>
        </w:rPr>
        <w:br/>
      </w:r>
      <w:r w:rsidRPr="00677D2F">
        <w:rPr>
          <w:b/>
          <w:bCs/>
          <w:lang w:val="es-ES_tradnl"/>
        </w:rPr>
        <w:t>Fecha:</w:t>
      </w:r>
      <w:r w:rsidRPr="00677D2F">
        <w:rPr>
          <w:lang w:val="es-ES_tradnl"/>
        </w:rPr>
        <w:t> 10 de abril de 2026</w:t>
      </w:r>
      <w:r w:rsidRPr="00677D2F">
        <w:rPr>
          <w:lang w:val="es-ES_tradnl"/>
        </w:rPr>
        <w:br/>
      </w:r>
      <w:r w:rsidRPr="00677D2F">
        <w:rPr>
          <w:lang w:val="es-ES_tradnl"/>
        </w:rPr>
        <w:br/>
      </w:r>
      <w:r w:rsidRPr="00677D2F">
        <w:rPr>
          <w:b/>
          <w:bCs/>
          <w:lang w:val="es-ES_tradnl"/>
        </w:rPr>
        <w:t>Asistentes</w:t>
      </w:r>
      <w:r w:rsidRPr="00677D2F">
        <w:rPr>
          <w:lang w:val="es-ES_tradnl"/>
        </w:rPr>
        <w:br/>
        <w:t>Alejandro Alonso Garcia Rodriguez, Joaquin Navajas Helguero, pavel.bilovsky@accenture.com, Pablo Lorenzo Diaz, Ricardo Gonzalez Ludlow, Angelica Maria Tolosa Bravo, p.lorenzo.diaz@accenture.com, Irving Omar Patron Padron, Gloria Cecilia Coll Peña,</w:t>
      </w:r>
    </w:p>
    <w:p w14:paraId="32247522" w14:textId="363EBEEA" w:rsidR="00677D2F" w:rsidRPr="00677D2F" w:rsidRDefault="00677D2F" w:rsidP="00677D2F">
      <w:pPr>
        <w:rPr>
          <w:lang w:val="en-US"/>
        </w:rPr>
      </w:pPr>
      <w:proofErr w:type="gramStart"/>
      <w:r w:rsidRPr="00677D2F">
        <w:rPr>
          <w:b/>
          <w:bCs/>
          <w:lang w:val="es-ES_tradnl"/>
        </w:rPr>
        <w:t>.-----</w:t>
      </w:r>
      <w:proofErr w:type="gramEnd"/>
      <w:r w:rsidRPr="00677D2F">
        <w:rPr>
          <w:b/>
          <w:bCs/>
          <w:lang w:val="es-ES_tradnl"/>
        </w:rPr>
        <w:t>1. Objetivo de la Reunión</w:t>
      </w:r>
      <w:r w:rsidRPr="00677D2F">
        <w:rPr>
          <w:lang w:val="es-ES_tradnl"/>
        </w:rPr>
        <w:br/>
      </w:r>
      <w:r w:rsidRPr="00677D2F">
        <w:rPr>
          <w:lang w:val="es-ES_tradnl"/>
        </w:rPr>
        <w:br/>
        <w:t>El objetivo fue revisar el plan de trabajo y la documentación recibida para alinear las iniciativas Apollo y Smart Vista, y obtener el compromiso de fechas para la implementación de depósitos y créditos. Se buscó revisar el plan intermedio, documentar las suposiciones internas y externas, y solicitar documentación adicional sobre interfaces, requisitos, características y volumetría de los productos Transact.2. Decisiones Clave y Temas Discutidos</w:t>
      </w:r>
      <w:r w:rsidRPr="00677D2F">
        <w:rPr>
          <w:lang w:val="es-ES_tradnl"/>
        </w:rPr>
        <w:br/>
      </w:r>
      <w:r w:rsidRPr="00677D2F">
        <w:rPr>
          <w:lang w:val="es-ES_tradnl"/>
        </w:rPr>
        <w:br/>
      </w:r>
      <w:r w:rsidRPr="00677D2F">
        <w:rPr>
          <w:b/>
          <w:bCs/>
          <w:lang w:val="es-ES_tradnl"/>
        </w:rPr>
        <w:t>Escenario y Producto</w:t>
      </w:r>
      <w:r w:rsidRPr="00677D2F">
        <w:rPr>
          <w:lang w:val="es-ES_tradnl"/>
        </w:rPr>
        <w:br/>
        <w:t xml:space="preserve">El negocio seleccionó el </w:t>
      </w:r>
      <w:r w:rsidRPr="00677D2F">
        <w:rPr>
          <w:b/>
          <w:bCs/>
          <w:lang w:val="es-ES_tradnl"/>
        </w:rPr>
        <w:t>Escenario 2</w:t>
      </w:r>
      <w:r w:rsidRPr="00677D2F">
        <w:rPr>
          <w:lang w:val="es-ES_tradnl"/>
        </w:rPr>
        <w:t xml:space="preserve">, de riesgo intermedio. Se decidió priorizar la </w:t>
      </w:r>
      <w:r w:rsidRPr="00677D2F">
        <w:rPr>
          <w:b/>
          <w:bCs/>
          <w:lang w:val="es-ES_tradnl"/>
        </w:rPr>
        <w:t>cuenta N4</w:t>
      </w:r>
      <w:r w:rsidRPr="00677D2F">
        <w:rPr>
          <w:lang w:val="es-ES_tradnl"/>
        </w:rPr>
        <w:t xml:space="preserve"> para el desarrollo inicial, ya que esta genera entre el 80% y 90% de los ingresos. El equipo se comprometió a analizar la complejidad de desarrollar la cuenta N4 en paralelo con un Producto Mínimo Viable (MVP) simple, sin incluir una migración inicial. El alcance para las cuentas incluye la funcionalidad de </w:t>
      </w:r>
      <w:r w:rsidRPr="00677D2F">
        <w:rPr>
          <w:b/>
          <w:bCs/>
          <w:lang w:val="es-ES_tradnl"/>
        </w:rPr>
        <w:t>cheques e inversiones</w:t>
      </w:r>
      <w:r w:rsidRPr="00677D2F">
        <w:rPr>
          <w:lang w:val="es-ES_tradnl"/>
        </w:rPr>
        <w:t> (depósitos a plazo con tasas personalizadas).</w:t>
      </w:r>
      <w:r w:rsidRPr="00677D2F">
        <w:rPr>
          <w:lang w:val="es-ES_tradnl"/>
        </w:rPr>
        <w:br/>
      </w:r>
      <w:r w:rsidRPr="00677D2F">
        <w:rPr>
          <w:lang w:val="es-ES_tradnl"/>
        </w:rPr>
        <w:br/>
      </w:r>
      <w:proofErr w:type="spellStart"/>
      <w:r w:rsidRPr="00677D2F">
        <w:rPr>
          <w:b/>
          <w:bCs/>
          <w:lang w:val="en-US"/>
        </w:rPr>
        <w:t>Cronograma</w:t>
      </w:r>
      <w:proofErr w:type="spellEnd"/>
      <w:r w:rsidRPr="00677D2F">
        <w:rPr>
          <w:b/>
          <w:bCs/>
          <w:lang w:val="en-US"/>
        </w:rPr>
        <w:t xml:space="preserve"> de </w:t>
      </w:r>
      <w:proofErr w:type="spellStart"/>
      <w:r w:rsidRPr="00677D2F">
        <w:rPr>
          <w:b/>
          <w:bCs/>
          <w:lang w:val="en-US"/>
        </w:rPr>
        <w:t>Implementación</w:t>
      </w:r>
      <w:proofErr w:type="spellEnd"/>
    </w:p>
    <w:p w14:paraId="3BAE74EA" w14:textId="77777777" w:rsidR="00677D2F" w:rsidRPr="00677D2F" w:rsidRDefault="00677D2F" w:rsidP="00677D2F">
      <w:pPr>
        <w:numPr>
          <w:ilvl w:val="0"/>
          <w:numId w:val="35"/>
        </w:numPr>
        <w:rPr>
          <w:lang w:val="es-ES_tradnl"/>
        </w:rPr>
      </w:pPr>
      <w:r w:rsidRPr="00677D2F">
        <w:rPr>
          <w:b/>
          <w:bCs/>
          <w:lang w:val="es-ES_tradnl"/>
        </w:rPr>
        <w:t>Depósitos (Cuentas):</w:t>
      </w:r>
      <w:r w:rsidRPr="00677D2F">
        <w:rPr>
          <w:lang w:val="es-ES_tradnl"/>
        </w:rPr>
        <w:t xml:space="preserve"> Se mantiene la fecha de inicio de implementación en </w:t>
      </w:r>
      <w:r w:rsidRPr="00677D2F">
        <w:rPr>
          <w:b/>
          <w:bCs/>
          <w:lang w:val="es-ES_tradnl"/>
        </w:rPr>
        <w:t>2028</w:t>
      </w:r>
      <w:r w:rsidRPr="00677D2F">
        <w:rPr>
          <w:lang w:val="es-ES_tradnl"/>
        </w:rPr>
        <w:t>, seguida de la migración de cuentas, según el plan original.</w:t>
      </w:r>
    </w:p>
    <w:p w14:paraId="2EC80D80" w14:textId="77777777" w:rsidR="00677D2F" w:rsidRPr="00677D2F" w:rsidRDefault="00677D2F" w:rsidP="00677D2F">
      <w:pPr>
        <w:numPr>
          <w:ilvl w:val="0"/>
          <w:numId w:val="35"/>
        </w:numPr>
        <w:rPr>
          <w:lang w:val="es-ES_tradnl"/>
        </w:rPr>
      </w:pPr>
      <w:r w:rsidRPr="00677D2F">
        <w:rPr>
          <w:b/>
          <w:bCs/>
          <w:lang w:val="es-ES_tradnl"/>
        </w:rPr>
        <w:t>Créditos:</w:t>
      </w:r>
      <w:r w:rsidRPr="00677D2F">
        <w:rPr>
          <w:lang w:val="es-ES_tradnl"/>
        </w:rPr>
        <w:t xml:space="preserve"> El compromiso de fecha es para el </w:t>
      </w:r>
      <w:r w:rsidRPr="00677D2F">
        <w:rPr>
          <w:b/>
          <w:bCs/>
          <w:lang w:val="es-ES_tradnl"/>
        </w:rPr>
        <w:t>cuarto trimestre (Q4) de 2028</w:t>
      </w:r>
      <w:r w:rsidRPr="00677D2F">
        <w:rPr>
          <w:lang w:val="es-ES_tradnl"/>
        </w:rPr>
        <w:t xml:space="preserve">, con un enfoque inicial en un </w:t>
      </w:r>
      <w:proofErr w:type="gramStart"/>
      <w:r w:rsidRPr="00677D2F">
        <w:rPr>
          <w:lang w:val="es-ES_tradnl"/>
        </w:rPr>
        <w:t>solo producto y un solo canal</w:t>
      </w:r>
      <w:proofErr w:type="gramEnd"/>
      <w:r w:rsidRPr="00677D2F">
        <w:rPr>
          <w:lang w:val="es-ES_tradnl"/>
        </w:rPr>
        <w:t>, sin migración.</w:t>
      </w:r>
    </w:p>
    <w:p w14:paraId="4BBAAED5" w14:textId="77777777" w:rsidR="00677D2F" w:rsidRPr="00677D2F" w:rsidRDefault="00677D2F" w:rsidP="00677D2F">
      <w:pPr>
        <w:numPr>
          <w:ilvl w:val="0"/>
          <w:numId w:val="35"/>
        </w:numPr>
        <w:rPr>
          <w:lang w:val="es-ES_tradnl"/>
        </w:rPr>
      </w:pPr>
      <w:r w:rsidRPr="00677D2F">
        <w:rPr>
          <w:b/>
          <w:bCs/>
          <w:lang w:val="es-ES_tradnl"/>
        </w:rPr>
        <w:t>Dependencia Clave:</w:t>
      </w:r>
      <w:r w:rsidRPr="00677D2F">
        <w:rPr>
          <w:lang w:val="es-ES_tradnl"/>
        </w:rPr>
        <w:t xml:space="preserve"> La implementación de la cuenta N4 requiere que la capacidad de </w:t>
      </w:r>
      <w:r w:rsidRPr="00677D2F">
        <w:rPr>
          <w:b/>
          <w:bCs/>
          <w:lang w:val="es-ES_tradnl"/>
        </w:rPr>
        <w:t>tarjeta de débito</w:t>
      </w:r>
      <w:r w:rsidRPr="00677D2F">
        <w:rPr>
          <w:lang w:val="es-ES_tradnl"/>
        </w:rPr>
        <w:t> sea priorizada en la próxima planificación PI. El equipo técnico confirmó su capacidad para respetar las fechas establecidas a pesar del cambio en el producto MVP de cuenta.</w:t>
      </w:r>
    </w:p>
    <w:p w14:paraId="159E9BD6" w14:textId="0FC3295B" w:rsidR="00AF66D5" w:rsidRDefault="00677D2F" w:rsidP="00677D2F">
      <w:pPr>
        <w:rPr>
          <w:lang w:val="es-ES_tradnl"/>
        </w:rPr>
      </w:pPr>
      <w:r w:rsidRPr="00677D2F">
        <w:rPr>
          <w:b/>
          <w:bCs/>
          <w:lang w:val="es-ES_tradnl"/>
        </w:rPr>
        <w:t>Arquitectura, Integraciones y Supuestos</w:t>
      </w:r>
      <w:r w:rsidRPr="00677D2F">
        <w:rPr>
          <w:lang w:val="es-ES_tradnl"/>
        </w:rPr>
        <w:br/>
        <w:t xml:space="preserve">El principio de desarrollo es evitar la personalización y utilizar la configuración mínima </w:t>
      </w:r>
      <w:r w:rsidRPr="00677D2F">
        <w:rPr>
          <w:lang w:val="es-ES_tradnl"/>
        </w:rPr>
        <w:lastRenderedPageBreak/>
        <w:t xml:space="preserve">posible de </w:t>
      </w:r>
      <w:proofErr w:type="spellStart"/>
      <w:r w:rsidRPr="00677D2F">
        <w:rPr>
          <w:lang w:val="es-ES_tradnl"/>
        </w:rPr>
        <w:t>Transact</w:t>
      </w:r>
      <w:proofErr w:type="spellEnd"/>
      <w:r w:rsidRPr="00677D2F">
        <w:rPr>
          <w:lang w:val="es-ES_tradnl"/>
        </w:rPr>
        <w:t xml:space="preserve"> ("no personalización"). Se identificaron </w:t>
      </w:r>
      <w:r w:rsidRPr="00677D2F">
        <w:rPr>
          <w:b/>
          <w:bCs/>
          <w:lang w:val="es-ES_tradnl"/>
        </w:rPr>
        <w:t>18 deltas</w:t>
      </w:r>
      <w:r w:rsidRPr="00677D2F">
        <w:rPr>
          <w:lang w:val="es-ES_tradnl"/>
        </w:rPr>
        <w:t xml:space="preserve"> que son configuraciones y customizaciones de integraciones que deben realizarse y que ya están solicitadas y estimadas por </w:t>
      </w:r>
      <w:proofErr w:type="spellStart"/>
      <w:r w:rsidRPr="00677D2F">
        <w:rPr>
          <w:lang w:val="es-ES_tradnl"/>
        </w:rPr>
        <w:t>T</w:t>
      </w:r>
      <w:r w:rsidR="006008FE">
        <w:rPr>
          <w:lang w:val="es-ES_tradnl"/>
        </w:rPr>
        <w:t>e</w:t>
      </w:r>
      <w:r w:rsidR="00256DFA">
        <w:rPr>
          <w:lang w:val="es-ES_tradnl"/>
        </w:rPr>
        <w:t>menos</w:t>
      </w:r>
      <w:proofErr w:type="spellEnd"/>
      <w:r w:rsidRPr="00677D2F">
        <w:rPr>
          <w:lang w:val="es-ES_tradnl"/>
        </w:rPr>
        <w:t>. Las estimaciones de tiempo consideraron los tiempos promedio de actividades internas como certificación, arquitectura, gestión de proveedores y gestión de acceso. Es necesario trabajar en un plan unificado de fechas para la integración con canales, ya que otros equipos indicaron no tener la capacidad de asumir el compromiso actual.</w:t>
      </w:r>
    </w:p>
    <w:p w14:paraId="53D1F838" w14:textId="51B7DCCE" w:rsidR="00677D2F" w:rsidRDefault="00677D2F" w:rsidP="00677D2F">
      <w:pPr>
        <w:rPr>
          <w:b/>
          <w:bCs/>
          <w:lang w:val="en-US"/>
        </w:rPr>
      </w:pPr>
      <w:r w:rsidRPr="00677D2F">
        <w:rPr>
          <w:b/>
          <w:bCs/>
          <w:lang w:val="es-ES_tradnl"/>
        </w:rPr>
        <w:t xml:space="preserve">3. </w:t>
      </w:r>
      <w:proofErr w:type="spellStart"/>
      <w:r w:rsidRPr="00677D2F">
        <w:rPr>
          <w:b/>
          <w:bCs/>
          <w:lang w:val="en-US"/>
        </w:rPr>
        <w:t>Próximos</w:t>
      </w:r>
      <w:proofErr w:type="spellEnd"/>
      <w:r w:rsidRPr="00677D2F">
        <w:rPr>
          <w:b/>
          <w:bCs/>
          <w:lang w:val="en-US"/>
        </w:rPr>
        <w:t xml:space="preserve"> Pasos y </w:t>
      </w:r>
      <w:proofErr w:type="spellStart"/>
      <w:r w:rsidRPr="00677D2F">
        <w:rPr>
          <w:b/>
          <w:bCs/>
          <w:lang w:val="en-US"/>
        </w:rPr>
        <w:t>Entregables</w:t>
      </w:r>
      <w:proofErr w:type="spellEnd"/>
    </w:p>
    <w:p w14:paraId="22111D58" w14:textId="75F4D989" w:rsidR="00AF66D5" w:rsidRPr="00677D2F" w:rsidRDefault="00AF66D5" w:rsidP="00677D2F">
      <w:pPr>
        <w:rPr>
          <w:b/>
          <w:bCs/>
          <w:lang w:val="es-ES_tradnl"/>
        </w:rPr>
      </w:pPr>
      <w:r w:rsidRPr="00AF66D5">
        <w:rPr>
          <w:b/>
          <w:bCs/>
          <w:lang w:val="es-ES_tradnl"/>
        </w:rPr>
        <w:t>Angelica y gloria compartirán l</w:t>
      </w:r>
      <w:r>
        <w:rPr>
          <w:b/>
          <w:bCs/>
          <w:lang w:val="es-ES_tradnl"/>
        </w:rPr>
        <w:t xml:space="preserve">a siguiente documentación el </w:t>
      </w:r>
      <w:proofErr w:type="gramStart"/>
      <w:r>
        <w:rPr>
          <w:b/>
          <w:bCs/>
          <w:lang w:val="es-ES_tradnl"/>
        </w:rPr>
        <w:t>Viernes</w:t>
      </w:r>
      <w:proofErr w:type="gramEnd"/>
      <w:r>
        <w:rPr>
          <w:b/>
          <w:bCs/>
          <w:lang w:val="es-ES_tradnl"/>
        </w:rPr>
        <w:t xml:space="preserve"> 10 </w:t>
      </w:r>
      <w:proofErr w:type="gramStart"/>
      <w:r>
        <w:rPr>
          <w:b/>
          <w:bCs/>
          <w:lang w:val="es-ES_tradnl"/>
        </w:rPr>
        <w:t>Abril</w:t>
      </w:r>
      <w:proofErr w:type="gramEnd"/>
      <w:r>
        <w:rPr>
          <w:b/>
          <w:bCs/>
          <w:lang w:val="es-ES_tradnl"/>
        </w:rPr>
        <w:t xml:space="preserve"> EOD:</w:t>
      </w:r>
    </w:p>
    <w:p w14:paraId="392C6A30" w14:textId="407E9D71" w:rsidR="00677D2F" w:rsidRPr="00677D2F" w:rsidRDefault="00677D2F" w:rsidP="00677D2F">
      <w:pPr>
        <w:numPr>
          <w:ilvl w:val="0"/>
          <w:numId w:val="36"/>
        </w:numPr>
        <w:rPr>
          <w:lang w:val="es-ES_tradnl"/>
        </w:rPr>
      </w:pPr>
      <w:r w:rsidRPr="00677D2F">
        <w:rPr>
          <w:b/>
          <w:bCs/>
          <w:lang w:val="es-ES_tradnl"/>
        </w:rPr>
        <w:t xml:space="preserve">Detallar </w:t>
      </w:r>
      <w:proofErr w:type="gramStart"/>
      <w:r w:rsidRPr="00677D2F">
        <w:rPr>
          <w:b/>
          <w:bCs/>
          <w:lang w:val="es-ES_tradnl"/>
        </w:rPr>
        <w:t>Plan :</w:t>
      </w:r>
      <w:proofErr w:type="gramEnd"/>
      <w:r w:rsidRPr="00677D2F">
        <w:rPr>
          <w:lang w:val="es-ES_tradnl"/>
        </w:rPr>
        <w:t> Detallar los planes de trabajo para 2026 y 2027, e incluir el plan de migración para 2028.</w:t>
      </w:r>
    </w:p>
    <w:p w14:paraId="77F29837" w14:textId="030C58BE" w:rsidR="00677D2F" w:rsidRPr="00677D2F" w:rsidRDefault="00677D2F" w:rsidP="00677D2F">
      <w:pPr>
        <w:numPr>
          <w:ilvl w:val="0"/>
          <w:numId w:val="36"/>
        </w:numPr>
        <w:rPr>
          <w:lang w:val="es-ES_tradnl"/>
        </w:rPr>
      </w:pPr>
      <w:r w:rsidRPr="00677D2F">
        <w:rPr>
          <w:b/>
          <w:bCs/>
          <w:lang w:val="es-ES_tradnl"/>
        </w:rPr>
        <w:t xml:space="preserve">Plan </w:t>
      </w:r>
      <w:proofErr w:type="gramStart"/>
      <w:r w:rsidRPr="00677D2F">
        <w:rPr>
          <w:b/>
          <w:bCs/>
          <w:lang w:val="es-ES_tradnl"/>
        </w:rPr>
        <w:t xml:space="preserve">Intermedio </w:t>
      </w:r>
      <w:r w:rsidR="00AF66D5">
        <w:rPr>
          <w:b/>
          <w:bCs/>
          <w:lang w:val="es-ES_tradnl"/>
        </w:rPr>
        <w:t>:</w:t>
      </w:r>
      <w:proofErr w:type="gramEnd"/>
      <w:r w:rsidR="00AF66D5">
        <w:rPr>
          <w:b/>
          <w:bCs/>
          <w:lang w:val="es-ES_tradnl"/>
        </w:rPr>
        <w:t xml:space="preserve"> </w:t>
      </w:r>
      <w:r w:rsidRPr="00677D2F">
        <w:rPr>
          <w:lang w:val="es-ES_tradnl"/>
        </w:rPr>
        <w:t>Compartir el plan final intermedio de alto nivel que incluye los cambios solicitados por el negocio</w:t>
      </w:r>
    </w:p>
    <w:p w14:paraId="30C65B96" w14:textId="66D44FDA" w:rsidR="00677D2F" w:rsidRPr="00677D2F" w:rsidRDefault="00677D2F" w:rsidP="00677D2F">
      <w:pPr>
        <w:numPr>
          <w:ilvl w:val="0"/>
          <w:numId w:val="36"/>
        </w:numPr>
        <w:rPr>
          <w:lang w:val="es-ES_tradnl"/>
        </w:rPr>
      </w:pPr>
      <w:r w:rsidRPr="00677D2F">
        <w:rPr>
          <w:b/>
          <w:bCs/>
          <w:lang w:val="es-ES_tradnl"/>
        </w:rPr>
        <w:t xml:space="preserve">Compartir </w:t>
      </w:r>
      <w:proofErr w:type="gramStart"/>
      <w:r w:rsidRPr="00677D2F">
        <w:rPr>
          <w:b/>
          <w:bCs/>
          <w:lang w:val="es-ES_tradnl"/>
        </w:rPr>
        <w:t xml:space="preserve">Interfaces </w:t>
      </w:r>
      <w:r w:rsidR="00AF66D5">
        <w:rPr>
          <w:b/>
          <w:bCs/>
          <w:lang w:val="es-ES_tradnl"/>
        </w:rPr>
        <w:t>:</w:t>
      </w:r>
      <w:proofErr w:type="gramEnd"/>
      <w:r w:rsidR="00AF66D5">
        <w:rPr>
          <w:b/>
          <w:bCs/>
          <w:lang w:val="es-ES_tradnl"/>
        </w:rPr>
        <w:t xml:space="preserve"> </w:t>
      </w:r>
      <w:r w:rsidRPr="00677D2F">
        <w:rPr>
          <w:lang w:val="es-ES_tradnl"/>
        </w:rPr>
        <w:t>Compartir la lista de integraciones con detalles en formato editable.</w:t>
      </w:r>
    </w:p>
    <w:p w14:paraId="53543397" w14:textId="3EAB45D7" w:rsidR="00677D2F" w:rsidRPr="00677D2F" w:rsidRDefault="00677D2F" w:rsidP="00677D2F">
      <w:pPr>
        <w:numPr>
          <w:ilvl w:val="0"/>
          <w:numId w:val="36"/>
        </w:numPr>
        <w:rPr>
          <w:lang w:val="es-ES_tradnl"/>
        </w:rPr>
      </w:pPr>
      <w:r w:rsidRPr="00677D2F">
        <w:rPr>
          <w:b/>
          <w:bCs/>
          <w:lang w:val="es-ES_tradnl"/>
        </w:rPr>
        <w:t xml:space="preserve">Documentar </w:t>
      </w:r>
      <w:proofErr w:type="gramStart"/>
      <w:r w:rsidRPr="00677D2F">
        <w:rPr>
          <w:b/>
          <w:bCs/>
          <w:lang w:val="es-ES_tradnl"/>
        </w:rPr>
        <w:t>Supuestos :</w:t>
      </w:r>
      <w:proofErr w:type="gramEnd"/>
      <w:r w:rsidRPr="00677D2F">
        <w:rPr>
          <w:lang w:val="es-ES_tradnl"/>
        </w:rPr>
        <w:t> Compartir la lista documentada de supuestos internos y externos utilizados para estimar los tiempos. Incluir dependencias clave como la disponibilidad de tarjetas de débito.</w:t>
      </w:r>
    </w:p>
    <w:p w14:paraId="21051ABB" w14:textId="10F73230" w:rsidR="00677D2F" w:rsidRPr="00677D2F" w:rsidRDefault="00677D2F" w:rsidP="00F13F1B">
      <w:pPr>
        <w:numPr>
          <w:ilvl w:val="0"/>
          <w:numId w:val="36"/>
        </w:numPr>
        <w:rPr>
          <w:lang w:val="es-ES_tradnl"/>
        </w:rPr>
      </w:pPr>
      <w:r w:rsidRPr="00677D2F">
        <w:rPr>
          <w:b/>
          <w:bCs/>
          <w:lang w:val="es-ES_tradnl"/>
        </w:rPr>
        <w:t xml:space="preserve">Enviar </w:t>
      </w:r>
      <w:proofErr w:type="gramStart"/>
      <w:r w:rsidRPr="00677D2F">
        <w:rPr>
          <w:b/>
          <w:bCs/>
          <w:lang w:val="es-ES_tradnl"/>
        </w:rPr>
        <w:t>Volumetría :</w:t>
      </w:r>
      <w:proofErr w:type="gramEnd"/>
      <w:r w:rsidRPr="00677D2F">
        <w:rPr>
          <w:lang w:val="es-ES_tradnl"/>
        </w:rPr>
        <w:t> Compartir las especificaciones detalladas de los productos y la información volumétrica. Incluir datos sobre transacciones, clientes y número de cuentas.</w:t>
      </w:r>
    </w:p>
    <w:p w14:paraId="13C9577C" w14:textId="77777777" w:rsidR="001B42A6" w:rsidRPr="00677D2F" w:rsidRDefault="001B42A6" w:rsidP="0020618C">
      <w:pPr>
        <w:rPr>
          <w:lang w:val="es-ES_tradnl"/>
        </w:rPr>
      </w:pPr>
    </w:p>
    <w:sectPr w:rsidR="001B42A6" w:rsidRPr="00677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F0A"/>
    <w:multiLevelType w:val="multilevel"/>
    <w:tmpl w:val="DE063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329BD"/>
    <w:multiLevelType w:val="multilevel"/>
    <w:tmpl w:val="D58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1D15"/>
    <w:multiLevelType w:val="multilevel"/>
    <w:tmpl w:val="B562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75786"/>
    <w:multiLevelType w:val="multilevel"/>
    <w:tmpl w:val="FFA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B0E45"/>
    <w:multiLevelType w:val="multilevel"/>
    <w:tmpl w:val="323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E5D91"/>
    <w:multiLevelType w:val="multilevel"/>
    <w:tmpl w:val="AEB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C0ADC"/>
    <w:multiLevelType w:val="multilevel"/>
    <w:tmpl w:val="8B3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C1193"/>
    <w:multiLevelType w:val="multilevel"/>
    <w:tmpl w:val="ED0A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A2D56"/>
    <w:multiLevelType w:val="multilevel"/>
    <w:tmpl w:val="1660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74D30"/>
    <w:multiLevelType w:val="multilevel"/>
    <w:tmpl w:val="D3F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52262"/>
    <w:multiLevelType w:val="multilevel"/>
    <w:tmpl w:val="62C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92F6E"/>
    <w:multiLevelType w:val="multilevel"/>
    <w:tmpl w:val="86B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636AD"/>
    <w:multiLevelType w:val="multilevel"/>
    <w:tmpl w:val="B2D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E6227"/>
    <w:multiLevelType w:val="multilevel"/>
    <w:tmpl w:val="9A6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701A0"/>
    <w:multiLevelType w:val="multilevel"/>
    <w:tmpl w:val="F84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86C15"/>
    <w:multiLevelType w:val="multilevel"/>
    <w:tmpl w:val="7C9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66700"/>
    <w:multiLevelType w:val="multilevel"/>
    <w:tmpl w:val="645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C007C"/>
    <w:multiLevelType w:val="multilevel"/>
    <w:tmpl w:val="A2D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8277D"/>
    <w:multiLevelType w:val="multilevel"/>
    <w:tmpl w:val="1DA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E603D"/>
    <w:multiLevelType w:val="multilevel"/>
    <w:tmpl w:val="C1B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515B7"/>
    <w:multiLevelType w:val="multilevel"/>
    <w:tmpl w:val="A95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C60E8"/>
    <w:multiLevelType w:val="multilevel"/>
    <w:tmpl w:val="CFE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E2F25"/>
    <w:multiLevelType w:val="multilevel"/>
    <w:tmpl w:val="AC4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40F10"/>
    <w:multiLevelType w:val="multilevel"/>
    <w:tmpl w:val="F714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8575F"/>
    <w:multiLevelType w:val="multilevel"/>
    <w:tmpl w:val="64BC1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546D1"/>
    <w:multiLevelType w:val="multilevel"/>
    <w:tmpl w:val="1D4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F4479"/>
    <w:multiLevelType w:val="multilevel"/>
    <w:tmpl w:val="131A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3E44B8"/>
    <w:multiLevelType w:val="multilevel"/>
    <w:tmpl w:val="00C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0D35D4"/>
    <w:multiLevelType w:val="multilevel"/>
    <w:tmpl w:val="AA449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36523"/>
    <w:multiLevelType w:val="multilevel"/>
    <w:tmpl w:val="8426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F1FB3"/>
    <w:multiLevelType w:val="multilevel"/>
    <w:tmpl w:val="7AD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6012C8"/>
    <w:multiLevelType w:val="multilevel"/>
    <w:tmpl w:val="69C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66C38"/>
    <w:multiLevelType w:val="multilevel"/>
    <w:tmpl w:val="D8746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29192F"/>
    <w:multiLevelType w:val="multilevel"/>
    <w:tmpl w:val="BBE2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157481"/>
    <w:multiLevelType w:val="multilevel"/>
    <w:tmpl w:val="9A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66B55"/>
    <w:multiLevelType w:val="multilevel"/>
    <w:tmpl w:val="DD0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02027">
    <w:abstractNumId w:val="24"/>
  </w:num>
  <w:num w:numId="2" w16cid:durableId="842159308">
    <w:abstractNumId w:val="7"/>
  </w:num>
  <w:num w:numId="3" w16cid:durableId="829490922">
    <w:abstractNumId w:val="23"/>
  </w:num>
  <w:num w:numId="4" w16cid:durableId="947390072">
    <w:abstractNumId w:val="33"/>
  </w:num>
  <w:num w:numId="5" w16cid:durableId="1415667164">
    <w:abstractNumId w:val="25"/>
  </w:num>
  <w:num w:numId="6" w16cid:durableId="440225556">
    <w:abstractNumId w:val="0"/>
  </w:num>
  <w:num w:numId="7" w16cid:durableId="692147933">
    <w:abstractNumId w:val="29"/>
  </w:num>
  <w:num w:numId="8" w16cid:durableId="1101947032">
    <w:abstractNumId w:val="8"/>
  </w:num>
  <w:num w:numId="9" w16cid:durableId="1007051008">
    <w:abstractNumId w:val="30"/>
  </w:num>
  <w:num w:numId="10" w16cid:durableId="300500476">
    <w:abstractNumId w:val="2"/>
  </w:num>
  <w:num w:numId="11" w16cid:durableId="809590619">
    <w:abstractNumId w:val="6"/>
  </w:num>
  <w:num w:numId="12" w16cid:durableId="678966822">
    <w:abstractNumId w:val="28"/>
  </w:num>
  <w:num w:numId="13" w16cid:durableId="754398100">
    <w:abstractNumId w:val="22"/>
  </w:num>
  <w:num w:numId="14" w16cid:durableId="1859149808">
    <w:abstractNumId w:val="34"/>
  </w:num>
  <w:num w:numId="15" w16cid:durableId="1655403852">
    <w:abstractNumId w:val="12"/>
  </w:num>
  <w:num w:numId="16" w16cid:durableId="208078148">
    <w:abstractNumId w:val="17"/>
  </w:num>
  <w:num w:numId="17" w16cid:durableId="1798991660">
    <w:abstractNumId w:val="14"/>
  </w:num>
  <w:num w:numId="18" w16cid:durableId="1025865138">
    <w:abstractNumId w:val="11"/>
  </w:num>
  <w:num w:numId="19" w16cid:durableId="270011959">
    <w:abstractNumId w:val="21"/>
  </w:num>
  <w:num w:numId="20" w16cid:durableId="185289632">
    <w:abstractNumId w:val="35"/>
  </w:num>
  <w:num w:numId="21" w16cid:durableId="703166380">
    <w:abstractNumId w:val="32"/>
  </w:num>
  <w:num w:numId="22" w16cid:durableId="1104303850">
    <w:abstractNumId w:val="27"/>
  </w:num>
  <w:num w:numId="23" w16cid:durableId="1202744089">
    <w:abstractNumId w:val="19"/>
  </w:num>
  <w:num w:numId="24" w16cid:durableId="1751543336">
    <w:abstractNumId w:val="31"/>
  </w:num>
  <w:num w:numId="25" w16cid:durableId="489641462">
    <w:abstractNumId w:val="18"/>
  </w:num>
  <w:num w:numId="26" w16cid:durableId="1296063659">
    <w:abstractNumId w:val="1"/>
  </w:num>
  <w:num w:numId="27" w16cid:durableId="457334228">
    <w:abstractNumId w:val="20"/>
  </w:num>
  <w:num w:numId="28" w16cid:durableId="771707637">
    <w:abstractNumId w:val="10"/>
  </w:num>
  <w:num w:numId="29" w16cid:durableId="1096054885">
    <w:abstractNumId w:val="9"/>
  </w:num>
  <w:num w:numId="30" w16cid:durableId="521477606">
    <w:abstractNumId w:val="4"/>
  </w:num>
  <w:num w:numId="31" w16cid:durableId="2011717942">
    <w:abstractNumId w:val="15"/>
  </w:num>
  <w:num w:numId="32" w16cid:durableId="1150631886">
    <w:abstractNumId w:val="5"/>
  </w:num>
  <w:num w:numId="33" w16cid:durableId="915819519">
    <w:abstractNumId w:val="3"/>
  </w:num>
  <w:num w:numId="34" w16cid:durableId="1332105450">
    <w:abstractNumId w:val="16"/>
  </w:num>
  <w:num w:numId="35" w16cid:durableId="1513835353">
    <w:abstractNumId w:val="13"/>
  </w:num>
  <w:num w:numId="36" w16cid:durableId="14999278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02"/>
    <w:rsid w:val="00001247"/>
    <w:rsid w:val="000A5699"/>
    <w:rsid w:val="000C7416"/>
    <w:rsid w:val="00110103"/>
    <w:rsid w:val="001B42A6"/>
    <w:rsid w:val="001E1589"/>
    <w:rsid w:val="0020618C"/>
    <w:rsid w:val="00256DFA"/>
    <w:rsid w:val="002718DE"/>
    <w:rsid w:val="003570FF"/>
    <w:rsid w:val="003C5F30"/>
    <w:rsid w:val="00482902"/>
    <w:rsid w:val="006008FE"/>
    <w:rsid w:val="00602FD6"/>
    <w:rsid w:val="00677D2F"/>
    <w:rsid w:val="00682E4C"/>
    <w:rsid w:val="006A1872"/>
    <w:rsid w:val="00795C40"/>
    <w:rsid w:val="00832D9D"/>
    <w:rsid w:val="00AA3A31"/>
    <w:rsid w:val="00AE3F6D"/>
    <w:rsid w:val="00AF66D5"/>
    <w:rsid w:val="00B63C6F"/>
    <w:rsid w:val="00B96D76"/>
    <w:rsid w:val="00C054C3"/>
    <w:rsid w:val="00C219AB"/>
    <w:rsid w:val="00C259D1"/>
    <w:rsid w:val="00D86E3D"/>
    <w:rsid w:val="00E236FC"/>
    <w:rsid w:val="00E4462A"/>
    <w:rsid w:val="00F13F1B"/>
    <w:rsid w:val="00F54A69"/>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1C7A"/>
  <w15:chartTrackingRefBased/>
  <w15:docId w15:val="{D8FD1CF0-792D-443C-A495-6C11798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02"/>
    <w:rPr>
      <w:rFonts w:eastAsiaTheme="majorEastAsia" w:cstheme="majorBidi"/>
      <w:color w:val="272727" w:themeColor="text1" w:themeTint="D8"/>
    </w:rPr>
  </w:style>
  <w:style w:type="paragraph" w:styleId="Title">
    <w:name w:val="Title"/>
    <w:basedOn w:val="Normal"/>
    <w:next w:val="Normal"/>
    <w:link w:val="TitleChar"/>
    <w:uiPriority w:val="10"/>
    <w:qFormat/>
    <w:rsid w:val="0048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02"/>
    <w:pPr>
      <w:spacing w:before="160"/>
      <w:jc w:val="center"/>
    </w:pPr>
    <w:rPr>
      <w:i/>
      <w:iCs/>
      <w:color w:val="404040" w:themeColor="text1" w:themeTint="BF"/>
    </w:rPr>
  </w:style>
  <w:style w:type="character" w:customStyle="1" w:styleId="QuoteChar">
    <w:name w:val="Quote Char"/>
    <w:basedOn w:val="DefaultParagraphFont"/>
    <w:link w:val="Quote"/>
    <w:uiPriority w:val="29"/>
    <w:rsid w:val="00482902"/>
    <w:rPr>
      <w:i/>
      <w:iCs/>
      <w:color w:val="404040" w:themeColor="text1" w:themeTint="BF"/>
    </w:rPr>
  </w:style>
  <w:style w:type="paragraph" w:styleId="ListParagraph">
    <w:name w:val="List Paragraph"/>
    <w:basedOn w:val="Normal"/>
    <w:uiPriority w:val="34"/>
    <w:qFormat/>
    <w:rsid w:val="00482902"/>
    <w:pPr>
      <w:ind w:left="720"/>
      <w:contextualSpacing/>
    </w:pPr>
  </w:style>
  <w:style w:type="character" w:styleId="IntenseEmphasis">
    <w:name w:val="Intense Emphasis"/>
    <w:basedOn w:val="DefaultParagraphFont"/>
    <w:uiPriority w:val="21"/>
    <w:qFormat/>
    <w:rsid w:val="00482902"/>
    <w:rPr>
      <w:i/>
      <w:iCs/>
      <w:color w:val="0F4761" w:themeColor="accent1" w:themeShade="BF"/>
    </w:rPr>
  </w:style>
  <w:style w:type="paragraph" w:styleId="IntenseQuote">
    <w:name w:val="Intense Quote"/>
    <w:basedOn w:val="Normal"/>
    <w:next w:val="Normal"/>
    <w:link w:val="IntenseQuoteChar"/>
    <w:uiPriority w:val="30"/>
    <w:qFormat/>
    <w:rsid w:val="0048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02"/>
    <w:rPr>
      <w:i/>
      <w:iCs/>
      <w:color w:val="0F4761" w:themeColor="accent1" w:themeShade="BF"/>
    </w:rPr>
  </w:style>
  <w:style w:type="character" w:styleId="IntenseReference">
    <w:name w:val="Intense Reference"/>
    <w:basedOn w:val="DefaultParagraphFont"/>
    <w:uiPriority w:val="32"/>
    <w:qFormat/>
    <w:rsid w:val="0048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1CA7D04-B064-4F6F-BD04-E0A425A608C7}">
  <ds:schemaRefs>
    <ds:schemaRef ds:uri="http://schemas.openxmlformats.org/officeDocument/2006/bibliography"/>
  </ds:schemaRefs>
</ds:datastoreItem>
</file>

<file path=customXml/itemProps2.xml><?xml version="1.0" encoding="utf-8"?>
<ds:datastoreItem xmlns:ds="http://schemas.openxmlformats.org/officeDocument/2006/customXml" ds:itemID="{257F0CE3-7F06-40FC-8F2A-893A921A2D73}"/>
</file>

<file path=customXml/itemProps3.xml><?xml version="1.0" encoding="utf-8"?>
<ds:datastoreItem xmlns:ds="http://schemas.openxmlformats.org/officeDocument/2006/customXml" ds:itemID="{3511C9CB-BFAD-4388-B220-9954AA245327}"/>
</file>

<file path=customXml/itemProps4.xml><?xml version="1.0" encoding="utf-8"?>
<ds:datastoreItem xmlns:ds="http://schemas.openxmlformats.org/officeDocument/2006/customXml" ds:itemID="{51E85696-55E1-43C2-9487-8CA43F9822D3}"/>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47</TotalTime>
  <Pages>2</Pages>
  <Words>530</Words>
  <Characters>2873</Characters>
  <Application>Microsoft Office Word</Application>
  <DocSecurity>0</DocSecurity>
  <Lines>55</Lines>
  <Paragraphs>22</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27</cp:revision>
  <dcterms:created xsi:type="dcterms:W3CDTF">2026-04-08T14:46:00Z</dcterms:created>
  <dcterms:modified xsi:type="dcterms:W3CDTF">2026-04-10T20:34:00Z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