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BC6F" w14:textId="77777777" w:rsidR="00065719" w:rsidRDefault="0006571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26.Mar.26 José Jaimes</w:t>
      </w:r>
    </w:p>
    <w:p w14:paraId="6738BF52" w14:textId="77777777" w:rsidR="00065719" w:rsidRDefault="0006571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07109432" w14:textId="77777777" w:rsidR="00065719" w:rsidRDefault="0006571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11:17 AM</w:t>
      </w:r>
    </w:p>
    <w:p w14:paraId="2211E8C1"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1AFC7F" w14:textId="77777777" w:rsidR="00065719" w:rsidRDefault="00065719">
      <w:pPr>
        <w:pStyle w:val="NormalWeb"/>
        <w:spacing w:before="0" w:beforeAutospacing="0" w:after="0" w:afterAutospacing="0"/>
        <w:rPr>
          <w:rFonts w:ascii="Google Sans" w:hAnsi="Google Sans" w:cs="Calibri"/>
          <w:color w:val="201F1E"/>
        </w:rPr>
      </w:pPr>
      <w:r>
        <w:rPr>
          <w:rFonts w:ascii="Google Sans" w:hAnsi="Google Sans" w:cs="Calibri"/>
          <w:b/>
          <w:bCs/>
          <w:color w:val="201F1E"/>
        </w:rPr>
        <w:t>Resumen General de la Sesión</w:t>
      </w:r>
    </w:p>
    <w:p w14:paraId="3A555972" w14:textId="77777777" w:rsidR="00065719" w:rsidRDefault="00065719">
      <w:pPr>
        <w:pStyle w:val="NormalWeb"/>
        <w:spacing w:before="0" w:beforeAutospacing="0" w:after="0" w:afterAutospacing="0"/>
        <w:rPr>
          <w:rFonts w:ascii="Google Sans" w:hAnsi="Google Sans" w:cs="Calibri"/>
          <w:color w:val="201F1E"/>
        </w:rPr>
      </w:pPr>
      <w:r>
        <w:rPr>
          <w:rFonts w:ascii="Google Sans" w:hAnsi="Google Sans" w:cs="Calibri"/>
          <w:color w:val="201F1E"/>
        </w:rPr>
        <w:t xml:space="preserve">El objetivo principal de la reunión, titulada "Accenture &lt;&gt; Apolo / SmartVista," </w:t>
      </w:r>
      <w:r>
        <w:rPr>
          <w:rFonts w:ascii="Google Sans" w:hAnsi="Google Sans" w:cs="Calibri"/>
          <w:color w:val="201F1E"/>
        </w:rPr>
        <w:t>fue presentar el equipo de la célula mixta (México y global) de Accenture y definir el plan de trabajo de seis semanas para la </w:t>
      </w:r>
      <w:r>
        <w:rPr>
          <w:rFonts w:ascii="Google Sans" w:hAnsi="Google Sans" w:cs="Calibri"/>
          <w:b/>
          <w:bCs/>
          <w:color w:val="201F1E"/>
        </w:rPr>
        <w:t>Fase de Aceleración del programa Unity</w:t>
      </w:r>
      <w:r>
        <w:rPr>
          <w:rFonts w:ascii="Google Sans" w:hAnsi="Google Sans" w:cs="Calibri"/>
          <w:color w:val="201F1E"/>
        </w:rPr>
        <w:t>. Esta fase consiste en un diagnóstico dividido en dos grandes ejes: </w:t>
      </w:r>
      <w:r>
        <w:rPr>
          <w:rFonts w:ascii="Google Sans" w:hAnsi="Google Sans" w:cs="Calibri"/>
          <w:b/>
          <w:bCs/>
          <w:color w:val="201F1E"/>
        </w:rPr>
        <w:t>Gobierno</w:t>
      </w:r>
      <w:r>
        <w:rPr>
          <w:rFonts w:ascii="Google Sans" w:hAnsi="Google Sans" w:cs="Calibri"/>
          <w:color w:val="201F1E"/>
        </w:rPr>
        <w:t> y </w:t>
      </w:r>
      <w:r>
        <w:rPr>
          <w:rFonts w:ascii="Google Sans" w:hAnsi="Google Sans" w:cs="Calibri"/>
          <w:b/>
          <w:bCs/>
          <w:color w:val="201F1E"/>
        </w:rPr>
        <w:t>Tecnológico</w:t>
      </w:r>
      <w:r>
        <w:rPr>
          <w:rFonts w:ascii="Google Sans" w:hAnsi="Google Sans" w:cs="Calibri"/>
          <w:color w:val="201F1E"/>
        </w:rPr>
        <w:t>. Se busca identificar puntos de dolor (</w:t>
      </w:r>
      <w:r>
        <w:rPr>
          <w:rFonts w:ascii="Google Sans" w:hAnsi="Google Sans" w:cs="Calibri"/>
          <w:b/>
          <w:bCs/>
          <w:color w:val="201F1E"/>
        </w:rPr>
        <w:t>Pain Points</w:t>
      </w:r>
      <w:r>
        <w:rPr>
          <w:rFonts w:ascii="Google Sans" w:hAnsi="Google Sans" w:cs="Calibri"/>
          <w:color w:val="201F1E"/>
        </w:rPr>
        <w:t xml:space="preserve">), documentar acciones de remediación y establecer una priorización para la ejecución futura. La sesión incluyó una ronda de presentaciones de los participantes y una discusión inicial sobre los retos del </w:t>
      </w:r>
      <w:r>
        <w:rPr>
          <w:rFonts w:ascii="Google Sans" w:hAnsi="Google Sans" w:cs="Calibri"/>
          <w:color w:val="201F1E"/>
        </w:rPr>
        <w:t>proyecto, con un enfoque en la arquitectura y la adopción.</w:t>
      </w:r>
    </w:p>
    <w:p w14:paraId="775544ED" w14:textId="77777777" w:rsidR="00065719" w:rsidRDefault="00065719">
      <w:pPr>
        <w:pStyle w:val="NormalWeb"/>
        <w:spacing w:before="0" w:beforeAutospacing="0" w:after="0" w:afterAutospacing="0"/>
        <w:rPr>
          <w:rFonts w:ascii="Calibri" w:hAnsi="Calibri" w:cs="Calibri"/>
          <w:color w:val="201F1E"/>
        </w:rPr>
      </w:pPr>
      <w:r>
        <w:rPr>
          <w:rFonts w:ascii="Calibri" w:hAnsi="Calibri" w:cs="Calibri"/>
          <w:color w:val="201F1E"/>
        </w:rPr>
        <w:t> </w:t>
      </w:r>
    </w:p>
    <w:p w14:paraId="1D422220" w14:textId="77777777" w:rsidR="00065719" w:rsidRDefault="00065719">
      <w:pPr>
        <w:pStyle w:val="NormalWeb"/>
        <w:spacing w:before="0" w:beforeAutospacing="0" w:after="0" w:afterAutospacing="0"/>
        <w:rPr>
          <w:rFonts w:ascii="Google Sans" w:hAnsi="Google Sans" w:cs="Calibri"/>
          <w:color w:val="201F1E"/>
        </w:rPr>
      </w:pPr>
      <w:r>
        <w:rPr>
          <w:rFonts w:ascii="Google Sans" w:hAnsi="Google Sans" w:cs="Calibri"/>
          <w:b/>
          <w:bCs/>
          <w:color w:val="201F1E"/>
        </w:rPr>
        <w:t>Participantes Clave</w:t>
      </w:r>
    </w:p>
    <w:p w14:paraId="0D23DA01" w14:textId="77777777" w:rsidR="00065719" w:rsidRDefault="00065719">
      <w:pPr>
        <w:numPr>
          <w:ilvl w:val="0"/>
          <w:numId w:val="1"/>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Accenture:</w:t>
      </w:r>
      <w:r>
        <w:rPr>
          <w:rFonts w:ascii="Google Sans" w:eastAsia="Times New Roman" w:hAnsi="Google Sans" w:cs="Calibri"/>
          <w:color w:val="201F1E"/>
        </w:rPr>
        <w:t> Pablo Lorenzo Diaz (Liderazgo), Salomon Monroy (Delivery Lead), Lukasz Pietrzyk (Arquitecto Global), Joaquin Ernesto Antonio Pichardo (Arquitecto de Integración), Karina Nayeli Zepeda Arrollo (Gestión del Cambio/Adopción), y Omar Patron Padron (Cloud Advisory/Control Técnico).</w:t>
      </w:r>
    </w:p>
    <w:p w14:paraId="336F0A91" w14:textId="77777777" w:rsidR="00065719" w:rsidRDefault="00065719">
      <w:pPr>
        <w:numPr>
          <w:ilvl w:val="0"/>
          <w:numId w:val="1"/>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Bancoppel:</w:t>
      </w:r>
      <w:r>
        <w:rPr>
          <w:rFonts w:ascii="Google Sans" w:eastAsia="Times New Roman" w:hAnsi="Google Sans" w:cs="Calibri"/>
          <w:color w:val="201F1E"/>
        </w:rPr>
        <w:t> Jose Jaimes Ortiz (Líder Técnico de SmartVista) y Teresa Gonzalez Navarro (Estrategia/Programa Unity).</w:t>
      </w:r>
    </w:p>
    <w:p w14:paraId="45F52AFA" w14:textId="77777777" w:rsidR="00065719" w:rsidRDefault="00065719">
      <w:pPr>
        <w:pStyle w:val="NormalWeb"/>
        <w:spacing w:before="0" w:beforeAutospacing="0" w:after="0" w:afterAutospacing="0"/>
        <w:rPr>
          <w:rFonts w:ascii="Calibri" w:hAnsi="Calibri" w:cs="Calibri"/>
          <w:color w:val="201F1E"/>
        </w:rPr>
      </w:pPr>
      <w:r>
        <w:rPr>
          <w:rFonts w:ascii="Calibri" w:hAnsi="Calibri" w:cs="Calibri"/>
          <w:color w:val="201F1E"/>
        </w:rPr>
        <w:t> </w:t>
      </w:r>
    </w:p>
    <w:p w14:paraId="697E8B8A" w14:textId="77777777" w:rsidR="00065719" w:rsidRDefault="00065719">
      <w:pPr>
        <w:pStyle w:val="NormalWeb"/>
        <w:spacing w:before="0" w:beforeAutospacing="0" w:after="0" w:afterAutospacing="0"/>
        <w:rPr>
          <w:rFonts w:ascii="Google Sans" w:hAnsi="Google Sans" w:cs="Calibri"/>
          <w:color w:val="201F1E"/>
        </w:rPr>
      </w:pPr>
      <w:r>
        <w:rPr>
          <w:rFonts w:ascii="Google Sans" w:hAnsi="Google Sans" w:cs="Calibri"/>
          <w:b/>
          <w:bCs/>
          <w:color w:val="201F1E"/>
        </w:rPr>
        <w:t>Deep Dive: Rol de Jose Jaimes Ortiz (JJ)</w:t>
      </w:r>
    </w:p>
    <w:p w14:paraId="36BC1B5A" w14:textId="77777777" w:rsidR="00065719" w:rsidRDefault="00065719">
      <w:pPr>
        <w:numPr>
          <w:ilvl w:val="0"/>
          <w:numId w:val="2"/>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Experiencia y Cargo:</w:t>
      </w:r>
      <w:r>
        <w:rPr>
          <w:rFonts w:ascii="Google Sans" w:eastAsia="Times New Roman" w:hAnsi="Google Sans" w:cs="Calibri"/>
          <w:color w:val="201F1E"/>
        </w:rPr>
        <w:t> JJ es Líder Técnico (Tarjetas - BPC) con ocho años en Bancoppel, enfocado en servicios financieros, específicamente tarjetas de crédito.</w:t>
      </w:r>
    </w:p>
    <w:p w14:paraId="69722CF3" w14:textId="77777777" w:rsidR="00065719" w:rsidRDefault="00065719">
      <w:pPr>
        <w:numPr>
          <w:ilvl w:val="0"/>
          <w:numId w:val="2"/>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Alcance de SmartVista:</w:t>
      </w:r>
      <w:r>
        <w:rPr>
          <w:rFonts w:ascii="Google Sans" w:eastAsia="Times New Roman" w:hAnsi="Google Sans" w:cs="Calibri"/>
          <w:color w:val="201F1E"/>
        </w:rPr>
        <w:t> Es responsable de todos los procesos de tarjetas de crédito, incluyendo la apertura y ciclo de vida del crédito, la maduración de la tarjeta, la extracción de archivos para reportes, el cierre/corte, la generación de pólizas y la unión con el banco para temas financieros y contabilidad.</w:t>
      </w:r>
    </w:p>
    <w:p w14:paraId="5C335DA3" w14:textId="77777777" w:rsidR="00065719" w:rsidRDefault="00065719">
      <w:pPr>
        <w:numPr>
          <w:ilvl w:val="0"/>
          <w:numId w:val="2"/>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Relación con Apolo:</w:t>
      </w:r>
      <w:r>
        <w:rPr>
          <w:rFonts w:ascii="Google Sans" w:eastAsia="Times New Roman" w:hAnsi="Google Sans" w:cs="Calibri"/>
          <w:color w:val="201F1E"/>
        </w:rPr>
        <w:t> Apolo actúa como su insumo, y JJ maneja a sus clientes para llevarlos a buen puerto.</w:t>
      </w:r>
    </w:p>
    <w:p w14:paraId="399C1D9E" w14:textId="77777777" w:rsidR="00065719" w:rsidRDefault="00065719">
      <w:pPr>
        <w:numPr>
          <w:ilvl w:val="0"/>
          <w:numId w:val="2"/>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Arquitectura Funcional:</w:t>
      </w:r>
      <w:r>
        <w:rPr>
          <w:rFonts w:ascii="Google Sans" w:eastAsia="Times New Roman" w:hAnsi="Google Sans" w:cs="Calibri"/>
          <w:color w:val="201F1E"/>
        </w:rPr>
        <w:t> Confirmó que es el punto de contacto clave para la arquitectura funcional, definiendo las capacidades de SmartVista y su interacción con el resto de los componentes tecnológicos.</w:t>
      </w:r>
    </w:p>
    <w:p w14:paraId="3529035A" w14:textId="77777777" w:rsidR="00065719" w:rsidRDefault="00065719">
      <w:pPr>
        <w:pStyle w:val="NormalWeb"/>
        <w:spacing w:before="0" w:beforeAutospacing="0" w:after="0" w:afterAutospacing="0"/>
        <w:rPr>
          <w:rFonts w:ascii="Calibri" w:hAnsi="Calibri" w:cs="Calibri"/>
          <w:color w:val="201F1E"/>
        </w:rPr>
      </w:pPr>
      <w:r>
        <w:rPr>
          <w:rFonts w:ascii="Calibri" w:hAnsi="Calibri" w:cs="Calibri"/>
          <w:color w:val="201F1E"/>
        </w:rPr>
        <w:t> </w:t>
      </w:r>
    </w:p>
    <w:p w14:paraId="01725C15" w14:textId="77777777" w:rsidR="00065719" w:rsidRDefault="00065719">
      <w:pPr>
        <w:pStyle w:val="NormalWeb"/>
        <w:spacing w:before="0" w:beforeAutospacing="0" w:after="0" w:afterAutospacing="0"/>
        <w:rPr>
          <w:rFonts w:ascii="Google Sans" w:hAnsi="Google Sans" w:cs="Calibri"/>
          <w:color w:val="201F1E"/>
        </w:rPr>
      </w:pPr>
      <w:r>
        <w:rPr>
          <w:rFonts w:ascii="Google Sans" w:hAnsi="Google Sans" w:cs="Calibri"/>
          <w:b/>
          <w:bCs/>
          <w:color w:val="201F1E"/>
        </w:rPr>
        <w:t>Deep Dive: Puntos Comentados por Jose Jaimes Ortiz</w:t>
      </w:r>
    </w:p>
    <w:p w14:paraId="1B433094" w14:textId="77777777" w:rsidR="00065719" w:rsidRDefault="00065719">
      <w:pPr>
        <w:pStyle w:val="NormalWeb"/>
        <w:spacing w:before="0" w:beforeAutospacing="0" w:after="0" w:afterAutospacing="0"/>
        <w:rPr>
          <w:rFonts w:ascii="Google Sans" w:hAnsi="Google Sans" w:cs="Calibri"/>
          <w:color w:val="201F1E"/>
        </w:rPr>
      </w:pPr>
      <w:r>
        <w:rPr>
          <w:rFonts w:ascii="Google Sans" w:hAnsi="Google Sans" w:cs="Calibri"/>
          <w:color w:val="201F1E"/>
        </w:rPr>
        <w:t>JJ detalló los desafíos y el estado actual del proyecto, resaltando los siguientes puntos:</w:t>
      </w:r>
    </w:p>
    <w:p w14:paraId="7BAB51EA" w14:textId="77777777" w:rsidR="00065719" w:rsidRDefault="00065719">
      <w:pPr>
        <w:numPr>
          <w:ilvl w:val="0"/>
          <w:numId w:val="3"/>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Desafío Principal (Adopción y Negocio):</w:t>
      </w:r>
      <w:r>
        <w:rPr>
          <w:rFonts w:ascii="Google Sans" w:eastAsia="Times New Roman" w:hAnsi="Google Sans" w:cs="Calibri"/>
          <w:color w:val="201F1E"/>
        </w:rPr>
        <w:t> El principal punto de dolor es la adopción. A pesar de que los componentes de SmartVista tienen buenas capacidades (eficiencia, escalamiento, </w:t>
      </w:r>
      <w:r>
        <w:rPr>
          <w:rFonts w:ascii="Google Sans" w:eastAsia="Times New Roman" w:hAnsi="Google Sans" w:cs="Calibri"/>
          <w:i/>
          <w:iCs/>
          <w:color w:val="201F1E"/>
        </w:rPr>
        <w:t>time to market</w:t>
      </w:r>
      <w:r>
        <w:rPr>
          <w:rFonts w:ascii="Google Sans" w:eastAsia="Times New Roman" w:hAnsi="Google Sans" w:cs="Calibri"/>
          <w:color w:val="201F1E"/>
        </w:rPr>
        <w:t>), las decisiones de adecuación dependen de la gente de operaciones, negocio y normatividad.</w:t>
      </w:r>
      <w:r>
        <w:rPr>
          <w:rFonts w:ascii="Google Sans" w:eastAsia="Times New Roman" w:hAnsi="Google Sans" w:cs="Calibri"/>
          <w:color w:val="201F1E"/>
        </w:rPr>
        <w:br/>
      </w:r>
      <w:hyperlink r:id="rId5" w:history="1">
        <w:r>
          <w:rPr>
            <w:rStyle w:val="Hyperlink"/>
            <w:rFonts w:ascii="Google Sans" w:eastAsia="Times New Roman" w:hAnsi="Google Sans" w:cs="Calibri"/>
          </w:rPr>
          <w:t>1</w:t>
        </w:r>
      </w:hyperlink>
    </w:p>
    <w:p w14:paraId="76727388" w14:textId="77777777" w:rsidR="00065719" w:rsidRDefault="00065719">
      <w:pPr>
        <w:numPr>
          <w:ilvl w:val="0"/>
          <w:numId w:val="3"/>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Dificultad en la Definición:</w:t>
      </w:r>
      <w:r>
        <w:rPr>
          <w:rFonts w:ascii="Google Sans" w:eastAsia="Times New Roman" w:hAnsi="Google Sans" w:cs="Calibri"/>
          <w:color w:val="201F1E"/>
        </w:rPr>
        <w:t xml:space="preserve"> Existe una dificultad para alcanzar acuerdos que permitan que las condiciones de producto o las funcionalidades deseadas en </w:t>
      </w:r>
      <w:r>
        <w:rPr>
          <w:rFonts w:ascii="Google Sans" w:eastAsia="Times New Roman" w:hAnsi="Google Sans" w:cs="Calibri"/>
          <w:color w:val="201F1E"/>
        </w:rPr>
        <w:lastRenderedPageBreak/>
        <w:t>SmartVista se soliciten correctamente a los participantes tecnológicos.</w:t>
      </w:r>
      <w:r>
        <w:rPr>
          <w:rFonts w:ascii="Google Sans" w:eastAsia="Times New Roman" w:hAnsi="Google Sans" w:cs="Calibri"/>
          <w:color w:val="201F1E"/>
        </w:rPr>
        <w:br/>
      </w:r>
      <w:hyperlink r:id="rId6" w:history="1">
        <w:r>
          <w:rPr>
            <w:rStyle w:val="Hyperlink"/>
            <w:rFonts w:ascii="Google Sans" w:eastAsia="Times New Roman" w:hAnsi="Google Sans" w:cs="Calibri"/>
          </w:rPr>
          <w:t>1</w:t>
        </w:r>
      </w:hyperlink>
    </w:p>
    <w:p w14:paraId="1FC711D5" w14:textId="77777777" w:rsidR="00065719" w:rsidRDefault="00065719">
      <w:pPr>
        <w:numPr>
          <w:ilvl w:val="0"/>
          <w:numId w:val="3"/>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Retraso Histórico:</w:t>
      </w:r>
      <w:r>
        <w:rPr>
          <w:rFonts w:ascii="Google Sans" w:eastAsia="Times New Roman" w:hAnsi="Google Sans" w:cs="Calibri"/>
          <w:color w:val="201F1E"/>
        </w:rPr>
        <w:t> El proyecto se prolongó porque, al inicio, faltó una definición clara de lo que se buscaba. El negocio no requería los productos o funcionalidades que el proveedor podía ofrecer, lo que diluyó el esfuerzo.</w:t>
      </w:r>
    </w:p>
    <w:p w14:paraId="3303E1BC" w14:textId="77777777" w:rsidR="00065719" w:rsidRDefault="00065719">
      <w:pPr>
        <w:pStyle w:val="NormalWeb"/>
        <w:spacing w:before="0" w:beforeAutospacing="0" w:after="0" w:afterAutospacing="0"/>
        <w:ind w:left="540"/>
        <w:rPr>
          <w:rFonts w:ascii="Calibri" w:hAnsi="Calibri" w:cs="Calibri"/>
          <w:color w:val="201F1E"/>
        </w:rPr>
      </w:pPr>
      <w:r>
        <w:rPr>
          <w:rFonts w:ascii="Calibri" w:hAnsi="Calibri" w:cs="Calibri"/>
          <w:color w:val="201F1E"/>
        </w:rPr>
        <w:t> </w:t>
      </w:r>
    </w:p>
    <w:p w14:paraId="36F7BC78" w14:textId="77777777" w:rsidR="00065719" w:rsidRDefault="00065719">
      <w:pPr>
        <w:numPr>
          <w:ilvl w:val="0"/>
          <w:numId w:val="4"/>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Estado del Release 2:</w:t>
      </w:r>
      <w:r>
        <w:rPr>
          <w:rFonts w:ascii="Google Sans" w:eastAsia="Times New Roman" w:hAnsi="Google Sans" w:cs="Calibri"/>
          <w:color w:val="201F1E"/>
        </w:rPr>
        <w:t> Ya se tiene el Release 2 de la tarjeta de crédito con Apolo para tarjetas digitales. Actualmente, están en una etapa de estabilización que ha sido eficiente y con mínimos ajustes.</w:t>
      </w:r>
    </w:p>
    <w:p w14:paraId="590612E5" w14:textId="77777777" w:rsidR="00065719" w:rsidRDefault="00065719">
      <w:pPr>
        <w:pStyle w:val="NormalWeb"/>
        <w:spacing w:before="0" w:beforeAutospacing="0" w:after="0" w:afterAutospacing="0"/>
        <w:ind w:left="540"/>
        <w:rPr>
          <w:rFonts w:ascii="Calibri" w:hAnsi="Calibri" w:cs="Calibri"/>
          <w:color w:val="201F1E"/>
        </w:rPr>
      </w:pPr>
      <w:r>
        <w:rPr>
          <w:rFonts w:ascii="Calibri" w:hAnsi="Calibri" w:cs="Calibri"/>
          <w:color w:val="201F1E"/>
        </w:rPr>
        <w:t> </w:t>
      </w:r>
    </w:p>
    <w:p w14:paraId="590FCA16" w14:textId="77777777" w:rsidR="00065719" w:rsidRDefault="00065719">
      <w:pPr>
        <w:numPr>
          <w:ilvl w:val="0"/>
          <w:numId w:val="5"/>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Logros de Estabilización:</w:t>
      </w:r>
      <w:r>
        <w:rPr>
          <w:rFonts w:ascii="Google Sans" w:eastAsia="Times New Roman" w:hAnsi="Google Sans" w:cs="Calibri"/>
          <w:color w:val="201F1E"/>
        </w:rPr>
        <w:t xml:space="preserve"> Se han completado con éxito procesos como el corte </w:t>
      </w:r>
      <w:r>
        <w:rPr>
          <w:rFonts w:ascii="Google Sans" w:eastAsia="Times New Roman" w:hAnsi="Google Sans" w:cs="Calibri"/>
          <w:color w:val="201F1E"/>
        </w:rPr>
        <w:t>bancario, la emisión de intereses, el cálculo de monto mínimo y la verificación de la información de clientes.</w:t>
      </w:r>
    </w:p>
    <w:p w14:paraId="4DC8813D" w14:textId="77777777" w:rsidR="00065719" w:rsidRDefault="00065719">
      <w:pPr>
        <w:pStyle w:val="NormalWeb"/>
        <w:spacing w:before="0" w:beforeAutospacing="0" w:after="0" w:afterAutospacing="0"/>
        <w:ind w:left="540"/>
        <w:rPr>
          <w:rFonts w:ascii="Calibri" w:hAnsi="Calibri" w:cs="Calibri"/>
          <w:color w:val="201F1E"/>
        </w:rPr>
      </w:pPr>
      <w:r>
        <w:rPr>
          <w:rFonts w:ascii="Calibri" w:hAnsi="Calibri" w:cs="Calibri"/>
          <w:color w:val="201F1E"/>
        </w:rPr>
        <w:t> </w:t>
      </w:r>
    </w:p>
    <w:p w14:paraId="2012D36F" w14:textId="77777777" w:rsidR="00065719" w:rsidRDefault="00065719">
      <w:pPr>
        <w:numPr>
          <w:ilvl w:val="0"/>
          <w:numId w:val="6"/>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Meta vs. Realidad:</w:t>
      </w:r>
      <w:r>
        <w:rPr>
          <w:rFonts w:ascii="Google Sans" w:eastAsia="Times New Roman" w:hAnsi="Google Sans" w:cs="Calibri"/>
          <w:color w:val="201F1E"/>
        </w:rPr>
        <w:t> La meta es alcanzar el </w:t>
      </w:r>
      <w:r>
        <w:rPr>
          <w:rFonts w:ascii="Google Sans" w:eastAsia="Times New Roman" w:hAnsi="Google Sans" w:cs="Calibri"/>
          <w:i/>
          <w:iCs/>
          <w:color w:val="201F1E"/>
        </w:rPr>
        <w:t>time to market</w:t>
      </w:r>
      <w:r>
        <w:rPr>
          <w:rFonts w:ascii="Google Sans" w:eastAsia="Times New Roman" w:hAnsi="Google Sans" w:cs="Calibri"/>
          <w:color w:val="201F1E"/>
        </w:rPr>
        <w:t> y la tarjeta ideal que el negocio y los clientes esperan. Sin embargo, alcanzar la paridad entre las funcionalidades de la tarjeta actual y las que debe tener SmartVista se percibe como un camino largo.</w:t>
      </w:r>
    </w:p>
    <w:p w14:paraId="0D460DBD" w14:textId="77777777" w:rsidR="00065719" w:rsidRDefault="00065719">
      <w:pPr>
        <w:pStyle w:val="NormalWeb"/>
        <w:spacing w:before="0" w:beforeAutospacing="0" w:after="0" w:afterAutospacing="0"/>
        <w:ind w:left="540"/>
        <w:rPr>
          <w:rFonts w:ascii="Calibri" w:hAnsi="Calibri" w:cs="Calibri"/>
          <w:color w:val="201F1E"/>
        </w:rPr>
      </w:pPr>
      <w:r>
        <w:rPr>
          <w:rFonts w:ascii="Calibri" w:hAnsi="Calibri" w:cs="Calibri"/>
          <w:color w:val="201F1E"/>
        </w:rPr>
        <w:t> </w:t>
      </w:r>
    </w:p>
    <w:p w14:paraId="5389B8EA" w14:textId="77777777" w:rsidR="00065719" w:rsidRDefault="00065719">
      <w:pPr>
        <w:numPr>
          <w:ilvl w:val="0"/>
          <w:numId w:val="7"/>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Dependencias y Alcance (Out of Scope):</w:t>
      </w:r>
      <w:r>
        <w:rPr>
          <w:rFonts w:ascii="Google Sans" w:eastAsia="Times New Roman" w:hAnsi="Google Sans" w:cs="Calibri"/>
          <w:color w:val="201F1E"/>
        </w:rPr>
        <w:t> La funcionalidad del equipo de SmartVista depende de terceros, como los equipos de CAT, IVR, cajeros automáticos, y banca por internet, que actualmente no están incluidos en el proyecto. Estas funcionalidades (ej. correspondencias, pagos Oxxo) tendrán que ser priorizadas en otro momento.</w:t>
      </w:r>
    </w:p>
    <w:p w14:paraId="6587DE1E" w14:textId="77777777" w:rsidR="00065719" w:rsidRDefault="00065719">
      <w:pPr>
        <w:pStyle w:val="NormalWeb"/>
        <w:spacing w:before="0" w:beforeAutospacing="0" w:after="0" w:afterAutospacing="0"/>
        <w:ind w:left="540"/>
        <w:rPr>
          <w:rFonts w:ascii="Calibri" w:hAnsi="Calibri" w:cs="Calibri"/>
          <w:color w:val="201F1E"/>
        </w:rPr>
      </w:pPr>
      <w:r>
        <w:rPr>
          <w:rFonts w:ascii="Calibri" w:hAnsi="Calibri" w:cs="Calibri"/>
          <w:color w:val="201F1E"/>
        </w:rPr>
        <w:t> </w:t>
      </w:r>
    </w:p>
    <w:p w14:paraId="2861216E" w14:textId="77777777" w:rsidR="00065719" w:rsidRDefault="00065719">
      <w:pPr>
        <w:numPr>
          <w:ilvl w:val="0"/>
          <w:numId w:val="8"/>
        </w:numPr>
        <w:textAlignment w:val="center"/>
        <w:rPr>
          <w:rFonts w:ascii="Calibri" w:eastAsia="Times New Roman" w:hAnsi="Calibri" w:cs="Calibri"/>
          <w:color w:val="201F1E"/>
          <w:sz w:val="22"/>
          <w:szCs w:val="22"/>
        </w:rPr>
      </w:pPr>
      <w:r>
        <w:rPr>
          <w:rFonts w:ascii="Google Sans" w:eastAsia="Times New Roman" w:hAnsi="Google Sans" w:cs="Calibri"/>
          <w:b/>
          <w:bCs/>
          <w:color w:val="201F1E"/>
        </w:rPr>
        <w:t>Conclusión:</w:t>
      </w:r>
      <w:r>
        <w:rPr>
          <w:rFonts w:ascii="Google Sans" w:eastAsia="Times New Roman" w:hAnsi="Google Sans" w:cs="Calibri"/>
          <w:color w:val="201F1E"/>
        </w:rPr>
        <w:t> La propuesta y la iteración de Accenture son excelentes, pero recomienda tener paciencia, ya que el equipo no puede tomar decisiones de forma aislada (</w:t>
      </w:r>
      <w:r>
        <w:rPr>
          <w:rFonts w:ascii="Google Sans" w:eastAsia="Times New Roman" w:hAnsi="Google Sans" w:cs="Calibri"/>
          <w:i/>
          <w:iCs/>
          <w:color w:val="201F1E"/>
        </w:rPr>
        <w:t>"no nos mandamos solos"</w:t>
      </w:r>
      <w:r>
        <w:rPr>
          <w:rFonts w:ascii="Google Sans" w:eastAsia="Times New Roman" w:hAnsi="Google Sans" w:cs="Calibri"/>
          <w:color w:val="201F1E"/>
        </w:rPr>
        <w:t>).</w:t>
      </w:r>
    </w:p>
    <w:p w14:paraId="314C4E75"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576A9BA5" w14:textId="77777777" w:rsidR="00065719" w:rsidRDefault="00065719">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26 de Marzo de 2026 de 11:00 a 11:30</w:t>
      </w:r>
    </w:p>
    <w:p w14:paraId="2FE1EB2C"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907D5D9"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0CA397AA" w14:textId="77777777" w:rsidR="00065719" w:rsidRDefault="00065719">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Jose Jaimes Ortiz</w:t>
      </w:r>
    </w:p>
    <w:p w14:paraId="7AFE0037" w14:textId="77777777" w:rsidR="00065719" w:rsidRDefault="00065719">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Alejandra Mayela Ramos Gallegos</w:t>
      </w:r>
    </w:p>
    <w:p w14:paraId="7D5B254E" w14:textId="77777777" w:rsidR="00065719" w:rsidRDefault="00065719">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Leo Hernandez (NO SUBIÓ A LA  SESIÓN)</w:t>
      </w:r>
    </w:p>
    <w:p w14:paraId="2CB30DC2"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C239F05"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2D9870F6"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4C3267CE"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44C52CE4"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5B58059C"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5ADC2942"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4B279EEB"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4A088453" w14:textId="77777777" w:rsidR="00065719" w:rsidRDefault="00065719">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43C92DA8"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E96724"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269323" w14:textId="77777777" w:rsidR="00065719" w:rsidRDefault="0006571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lastRenderedPageBreak/>
        <w:t>26.Mar.26 Maria Mercedes</w:t>
      </w:r>
    </w:p>
    <w:p w14:paraId="12E7955C" w14:textId="77777777" w:rsidR="00065719" w:rsidRDefault="0006571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Thursday, </w:t>
      </w:r>
      <w:r>
        <w:rPr>
          <w:rFonts w:ascii="Calibri" w:hAnsi="Calibri" w:cs="Calibri"/>
          <w:color w:val="767676"/>
          <w:sz w:val="20"/>
          <w:szCs w:val="20"/>
        </w:rPr>
        <w:t>March 26, 2026</w:t>
      </w:r>
    </w:p>
    <w:p w14:paraId="5959B6C6" w14:textId="77777777" w:rsidR="00065719" w:rsidRDefault="0006571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11:33 AM</w:t>
      </w:r>
    </w:p>
    <w:p w14:paraId="61C5A74A"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FA828"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Minuta Breve de la Sesión</w:t>
      </w:r>
    </w:p>
    <w:p w14:paraId="4BD30469"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La reunión sirvió como una introducción al equipo de Accenture y al proyecto de "Due Diligence" de seis semanas que busca acelerar el programa Unity, enfocándose en un diagnóstico de Gobernanza y Estrategia de TI. Los temas clave abordados fueron el alcance del diagnóstico y la identificación de los principales puntos de dolor del programa Unity desde la perspectiva de Arquitectura. El equipo de Accenture aclaró que su revisión de la arquitectura de TI será a nivel funcional y de requerimientos, no a un det</w:t>
      </w:r>
      <w:r>
        <w:rPr>
          <w:rFonts w:ascii="Google Sans" w:hAnsi="Google Sans" w:cs="Calibri"/>
          <w:color w:val="201F1E"/>
          <w:sz w:val="21"/>
          <w:szCs w:val="21"/>
        </w:rPr>
        <w:t>alle técnico mínimo, buscando alinear las capacidades de negocio con la tecnología. Maria Mercedes Espinosa compartió los principales desafíos, incluyendo la falta de integración del programa, la alta deuda técnica (135 hallazgos identificados) y la documentación dispersa. Se generó un punto pendiente para compartir el informe de hallazgos de arquitectura.</w:t>
      </w:r>
    </w:p>
    <w:p w14:paraId="795D0FFA" w14:textId="77777777" w:rsidR="00065719" w:rsidRDefault="00065719">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br/>
      </w:r>
      <w:r>
        <w:rPr>
          <w:rFonts w:ascii="Google Sans" w:hAnsi="Google Sans" w:cs="Calibri"/>
          <w:b/>
          <w:bCs/>
          <w:color w:val="201F1E"/>
          <w:sz w:val="21"/>
          <w:szCs w:val="21"/>
        </w:rPr>
        <w:t>Deep Dive en Comentarios de Maria Mercedes Espinosa</w:t>
      </w:r>
      <w:r>
        <w:rPr>
          <w:rFonts w:ascii="Google Sans" w:hAnsi="Google Sans" w:cs="Calibri"/>
          <w:color w:val="201F1E"/>
          <w:sz w:val="21"/>
          <w:szCs w:val="21"/>
        </w:rPr>
        <w:t>Preguntas y Respuestas</w:t>
      </w:r>
    </w:p>
    <w:p w14:paraId="023ACFE0"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Maria Mercedes Espinosa enfocó sus preguntas en el alcance de la validación de la arquitectura de TI y la definición del modelo operativo:</w:t>
      </w:r>
    </w:p>
    <w:p w14:paraId="25458723" w14:textId="77777777" w:rsidR="00065719" w:rsidRDefault="00065719">
      <w:pPr>
        <w:numPr>
          <w:ilvl w:val="0"/>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Validación de Arquitectura de TI:</w:t>
      </w:r>
    </w:p>
    <w:p w14:paraId="775E1D7C"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Pregunta:</w:t>
      </w:r>
      <w:r>
        <w:rPr>
          <w:rFonts w:ascii="Google Sans" w:eastAsia="Times New Roman" w:hAnsi="Google Sans" w:cs="Calibri"/>
          <w:color w:val="201F1E"/>
          <w:sz w:val="21"/>
          <w:szCs w:val="21"/>
        </w:rPr>
        <w:t> ¿A qué nivel de detalle se considera la validación de la arquitectura de TI?</w:t>
      </w:r>
    </w:p>
    <w:p w14:paraId="709E11BC"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Respuesta:</w:t>
      </w:r>
      <w:r>
        <w:rPr>
          <w:rFonts w:ascii="Google Sans" w:eastAsia="Times New Roman" w:hAnsi="Google Sans" w:cs="Calibri"/>
          <w:color w:val="201F1E"/>
          <w:sz w:val="21"/>
          <w:szCs w:val="21"/>
        </w:rPr>
        <w:t> </w:t>
      </w:r>
      <w:r>
        <w:rPr>
          <w:rFonts w:ascii="Google Sans" w:eastAsia="Times New Roman" w:hAnsi="Google Sans" w:cs="Calibri"/>
          <w:color w:val="201F1E"/>
          <w:sz w:val="21"/>
          <w:szCs w:val="21"/>
        </w:rPr>
        <w:t>La validación no será a los detalles más mínimos, sino a nivel de la cobertura de capacidades funcionales, arquitectura funcional y arquitectura de solución (breve). El objetivo es validar la alineación entre las capacidades requeridas por el negocio y la tecnología propuesta.</w:t>
      </w:r>
    </w:p>
    <w:p w14:paraId="7B1B4484"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Aclaración:</w:t>
      </w:r>
      <w:r>
        <w:rPr>
          <w:rFonts w:ascii="Google Sans" w:eastAsia="Times New Roman" w:hAnsi="Google Sans" w:cs="Calibri"/>
          <w:color w:val="201F1E"/>
          <w:sz w:val="21"/>
          <w:szCs w:val="21"/>
        </w:rPr>
        <w:t> Maria Mercedes confirmó que se trata de una revisión a nivel funcional y de requerimientos, no técnica. Lukasz Pietrzyk (Accenture) reiteró que esto ayudará a ver si la hoja de ruta prioriza objetivos de negocio y a identificar si es posible repriorizar para acelerar la entrega de valor.</w:t>
      </w:r>
    </w:p>
    <w:p w14:paraId="60207975" w14:textId="77777777" w:rsidR="00065719" w:rsidRDefault="00065719">
      <w:pPr>
        <w:numPr>
          <w:ilvl w:val="0"/>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Modelo Operativo:</w:t>
      </w:r>
    </w:p>
    <w:p w14:paraId="58E060EF"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Pregunta:</w:t>
      </w:r>
      <w:r>
        <w:rPr>
          <w:rFonts w:ascii="Google Sans" w:eastAsia="Times New Roman" w:hAnsi="Google Sans" w:cs="Calibri"/>
          <w:color w:val="201F1E"/>
          <w:sz w:val="21"/>
          <w:szCs w:val="21"/>
        </w:rPr>
        <w:t> Respecto al modelo operativo, ¿se busca establecerlo completo en sus niveles (nivel uno y nivel dos) sobre cómo deben operar las plataformas?</w:t>
      </w:r>
    </w:p>
    <w:p w14:paraId="32F38C17"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Respuesta:</w:t>
      </w:r>
      <w:r>
        <w:rPr>
          <w:rFonts w:ascii="Google Sans" w:eastAsia="Times New Roman" w:hAnsi="Google Sans" w:cs="Calibri"/>
          <w:color w:val="201F1E"/>
          <w:sz w:val="21"/>
          <w:szCs w:val="21"/>
        </w:rPr>
        <w:t> Lukasz Pietrzyk afirmó que se revisará la definición existente y los problemas relacionados, incluyendo la arquitectura de desarrollos y la gestión de entornos de prueba. Pablo Lorenzo Díaz (Accenture) mencionó que esta dimensión es la más difícil de documentar o de identificar un responsable dentro de Bancoppel.</w:t>
      </w:r>
    </w:p>
    <w:p w14:paraId="44520AF9"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Sugerencia de Contacto:</w:t>
      </w:r>
      <w:r>
        <w:rPr>
          <w:rFonts w:ascii="Google Sans" w:eastAsia="Times New Roman" w:hAnsi="Google Sans" w:cs="Calibri"/>
          <w:color w:val="201F1E"/>
          <w:sz w:val="21"/>
          <w:szCs w:val="21"/>
        </w:rPr>
        <w:t> Maria Mercedes sugirió verificar con el equipo de "Readines," anteriormente liderado por Caroline Su (quien está de incapacidad), ya que ellos prepararon la primera versión de esa información.</w:t>
      </w:r>
    </w:p>
    <w:p w14:paraId="1A7BCA47" w14:textId="77777777" w:rsidR="00065719" w:rsidRDefault="00065719">
      <w:pPr>
        <w:numPr>
          <w:ilvl w:val="0"/>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Cumplimiento Regulatorio (Compliance):</w:t>
      </w:r>
    </w:p>
    <w:p w14:paraId="1A0BB4C7"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Pregunta:</w:t>
      </w:r>
      <w:r>
        <w:rPr>
          <w:rFonts w:ascii="Google Sans" w:eastAsia="Times New Roman" w:hAnsi="Google Sans" w:cs="Calibri"/>
          <w:color w:val="201F1E"/>
          <w:sz w:val="21"/>
          <w:szCs w:val="21"/>
        </w:rPr>
        <w:t> ¿En el tema funcional, se verificará el cumplimiento de regulación, o la alineación será solo a los requerimientos?</w:t>
      </w:r>
    </w:p>
    <w:p w14:paraId="4E22E57F" w14:textId="77777777" w:rsidR="00065719" w:rsidRDefault="00065719">
      <w:pPr>
        <w:numPr>
          <w:ilvl w:val="1"/>
          <w:numId w:val="12"/>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Respuesta:</w:t>
      </w:r>
      <w:r>
        <w:rPr>
          <w:rFonts w:ascii="Google Sans" w:eastAsia="Times New Roman" w:hAnsi="Google Sans" w:cs="Calibri"/>
          <w:color w:val="201F1E"/>
          <w:sz w:val="21"/>
          <w:szCs w:val="21"/>
        </w:rPr>
        <w:t> Se revisará lo que existe y si hay un control de cumplimiento previsto, detectando problemas de alta prioridad que puedan afectar el despliegue final. Pablo Lorenzo Díaz agregó que incluirán a Erika Mata del equipo ISO en las reuniones por su visión sobre temas de </w:t>
      </w:r>
      <w:r>
        <w:rPr>
          <w:rFonts w:ascii="Google Sans" w:eastAsia="Times New Roman" w:hAnsi="Google Sans" w:cs="Calibri"/>
          <w:i/>
          <w:iCs/>
          <w:color w:val="201F1E"/>
          <w:sz w:val="21"/>
          <w:szCs w:val="21"/>
        </w:rPr>
        <w:t>compliance</w:t>
      </w:r>
      <w:r>
        <w:rPr>
          <w:rFonts w:ascii="Google Sans" w:eastAsia="Times New Roman" w:hAnsi="Google Sans" w:cs="Calibri"/>
          <w:color w:val="201F1E"/>
          <w:sz w:val="21"/>
          <w:szCs w:val="21"/>
        </w:rPr>
        <w:t>.</w:t>
      </w:r>
    </w:p>
    <w:p w14:paraId="2BCB239D"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2B21F5C9"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Puntos de Dolor del Programa Unity y Comentarios Relevantes</w:t>
      </w:r>
    </w:p>
    <w:p w14:paraId="50DED8E4"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10337780"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Maria Mercedes Espinosa identificó cuatro principales problemas o puntos de dolor del programa Unity:</w:t>
      </w:r>
    </w:p>
    <w:p w14:paraId="217C26B8" w14:textId="77777777" w:rsidR="00065719" w:rsidRDefault="00065719">
      <w:pPr>
        <w:numPr>
          <w:ilvl w:val="0"/>
          <w:numId w:val="13"/>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Integración y Silos:</w:t>
      </w:r>
      <w:r>
        <w:rPr>
          <w:rFonts w:ascii="Google Sans" w:eastAsia="Times New Roman" w:hAnsi="Google Sans" w:cs="Calibri"/>
          <w:color w:val="201F1E"/>
          <w:sz w:val="21"/>
          <w:szCs w:val="21"/>
        </w:rPr>
        <w:t> La mejora más importante es el engranaje de todo el programa, ya que existe un área fuerte de oportunidad en la integración de los distintos proyectos, lo que se refleja a nivel tecnológico y de aplicación. Es fundamental dejar de ver los proyectos como silos y tener una visión más integral.</w:t>
      </w:r>
    </w:p>
    <w:p w14:paraId="32E623AE" w14:textId="77777777" w:rsidR="00065719" w:rsidRDefault="00065719">
      <w:pPr>
        <w:numPr>
          <w:ilvl w:val="0"/>
          <w:numId w:val="13"/>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Deuda Técnica Importante:</w:t>
      </w:r>
      <w:r>
        <w:rPr>
          <w:rFonts w:ascii="Google Sans" w:eastAsia="Times New Roman" w:hAnsi="Google Sans" w:cs="Calibri"/>
          <w:color w:val="201F1E"/>
          <w:sz w:val="21"/>
          <w:szCs w:val="21"/>
        </w:rPr>
        <w:t> Existe una deuda técnica significativa. Un informe de hallazgos de arquitectura generado en julio del año pasado identificó 135 puntos que van desde temas de cifrado y obsolescencia tecnológica hasta cumplimiento con la CNBV. Los equipos necesitan apoyo para aterrizar las estrategias y solventar estos hallazgos.</w:t>
      </w:r>
    </w:p>
    <w:p w14:paraId="41F3A4F3" w14:textId="77777777" w:rsidR="00065719" w:rsidRDefault="00065719">
      <w:pPr>
        <w:numPr>
          <w:ilvl w:val="0"/>
          <w:numId w:val="13"/>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Gobernanza:</w:t>
      </w:r>
      <w:r>
        <w:rPr>
          <w:rFonts w:ascii="Google Sans" w:eastAsia="Times New Roman" w:hAnsi="Google Sans" w:cs="Calibri"/>
          <w:color w:val="201F1E"/>
          <w:sz w:val="21"/>
          <w:szCs w:val="21"/>
        </w:rPr>
        <w:t> Se identifican carencias, principalmente la falta de definición de responsables en algunos casos, lo que hace acertada la decisión de revisar este tema.</w:t>
      </w:r>
    </w:p>
    <w:p w14:paraId="3B0BD6D8" w14:textId="77777777" w:rsidR="00065719" w:rsidRDefault="00065719">
      <w:pPr>
        <w:numPr>
          <w:ilvl w:val="0"/>
          <w:numId w:val="13"/>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Documentación Dispersa:</w:t>
      </w:r>
      <w:r>
        <w:rPr>
          <w:rFonts w:ascii="Google Sans" w:eastAsia="Times New Roman" w:hAnsi="Google Sans" w:cs="Calibri"/>
          <w:color w:val="201F1E"/>
          <w:sz w:val="21"/>
          <w:szCs w:val="21"/>
        </w:rPr>
        <w:t> Hay "silos de información" y la documentación está dispersa entre el equipo de arquitectura, los dueños de plataforma y los PMs, lo cual será clave para el levantamiento de información.</w:t>
      </w:r>
    </w:p>
    <w:p w14:paraId="503DEAC5"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72645A49"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Puntos Pendientes</w:t>
      </w:r>
    </w:p>
    <w:p w14:paraId="0EE890BE" w14:textId="77777777" w:rsidR="00065719" w:rsidRDefault="00065719">
      <w:pPr>
        <w:numPr>
          <w:ilvl w:val="0"/>
          <w:numId w:val="14"/>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Compartir Informe de Hallazgos:</w:t>
      </w:r>
      <w:r>
        <w:rPr>
          <w:rFonts w:ascii="Google Sans" w:eastAsia="Times New Roman" w:hAnsi="Google Sans" w:cs="Calibri"/>
          <w:color w:val="201F1E"/>
          <w:sz w:val="21"/>
          <w:szCs w:val="21"/>
        </w:rPr>
        <w:t> Pablo solicitó el informe inicial de 135 hallazgos. Maria Mercedes acordó facilitarlo, pidiendo que se haga la petición formalmente a través de correo electrónico.</w:t>
      </w:r>
    </w:p>
    <w:p w14:paraId="0B0583FF" w14:textId="77777777" w:rsidR="00065719" w:rsidRDefault="00065719">
      <w:pPr>
        <w:numPr>
          <w:ilvl w:val="0"/>
          <w:numId w:val="14"/>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Guía para Remediación:</w:t>
      </w:r>
      <w:r>
        <w:rPr>
          <w:rFonts w:ascii="Google Sans" w:eastAsia="Times New Roman" w:hAnsi="Google Sans" w:cs="Calibri"/>
          <w:color w:val="201F1E"/>
          <w:sz w:val="21"/>
          <w:szCs w:val="21"/>
        </w:rPr>
        <w:t> Existe la necesidad de guiar a los equipos sobre cómo iniciar la remediación de los hallazgos técnicos. Maria Mercedes comentó que se ocupa apoyo para indicarles por dónde empezar con los problemas identificados.</w:t>
      </w:r>
    </w:p>
    <w:p w14:paraId="6DA57F3D" w14:textId="77777777" w:rsidR="00065719" w:rsidRDefault="00065719">
      <w:pPr>
        <w:numPr>
          <w:ilvl w:val="0"/>
          <w:numId w:val="14"/>
        </w:numPr>
        <w:textAlignment w:val="center"/>
        <w:rPr>
          <w:rFonts w:ascii="Calibri" w:eastAsia="Times New Roman" w:hAnsi="Calibri" w:cs="Calibri"/>
          <w:color w:val="201F1E"/>
          <w:sz w:val="22"/>
          <w:szCs w:val="22"/>
        </w:rPr>
      </w:pPr>
      <w:r>
        <w:rPr>
          <w:rFonts w:ascii="Google Sans" w:eastAsia="Times New Roman" w:hAnsi="Google Sans" w:cs="Calibri"/>
          <w:b/>
          <w:bCs/>
          <w:color w:val="201F1E"/>
          <w:sz w:val="21"/>
          <w:szCs w:val="21"/>
        </w:rPr>
        <w:t>Rol de Arquitectura:</w:t>
      </w:r>
      <w:r>
        <w:rPr>
          <w:rFonts w:ascii="Google Sans" w:eastAsia="Times New Roman" w:hAnsi="Google Sans" w:cs="Calibri"/>
          <w:color w:val="201F1E"/>
          <w:sz w:val="21"/>
          <w:szCs w:val="21"/>
        </w:rPr>
        <w:t xml:space="preserve"> Maria </w:t>
      </w:r>
      <w:r>
        <w:rPr>
          <w:rFonts w:ascii="Google Sans" w:eastAsia="Times New Roman" w:hAnsi="Google Sans" w:cs="Calibri"/>
          <w:color w:val="201F1E"/>
          <w:sz w:val="21"/>
          <w:szCs w:val="21"/>
        </w:rPr>
        <w:t>Mercedes aclaró que su equipo no está tan inmerso en la gobernanza del proyecto o de la tecnología Veloz, pero su trabajo de revisión de arquitectura se ha enfocado en el cumplimiento de los estándares y brechas del marco de arquitectura del grupo.</w:t>
      </w:r>
    </w:p>
    <w:p w14:paraId="010F2A72"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3DDBFE74"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Introducción de Julio César Quiroga y Comentarios Finales</w:t>
      </w:r>
    </w:p>
    <w:p w14:paraId="3BBD73F8" w14:textId="77777777" w:rsidR="00065719" w:rsidRDefault="00065719">
      <w:pPr>
        <w:pStyle w:val="NormalWeb"/>
        <w:spacing w:before="0" w:beforeAutospacing="0" w:after="0" w:afterAutospacing="0"/>
        <w:rPr>
          <w:rFonts w:ascii="Calibri" w:hAnsi="Calibri" w:cs="Calibri"/>
          <w:sz w:val="22"/>
          <w:szCs w:val="22"/>
          <w:lang w:val="es-ES_tradnl"/>
        </w:rPr>
      </w:pPr>
      <w:r>
        <w:rPr>
          <w:rFonts w:ascii="Calibri" w:hAnsi="Calibri" w:cs="Calibri"/>
          <w:sz w:val="22"/>
          <w:szCs w:val="22"/>
          <w:lang w:val="es-ES_tradnl"/>
        </w:rPr>
        <w:t> </w:t>
      </w:r>
    </w:p>
    <w:p w14:paraId="6E16CF80"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La sesión concluyó con la presentación formal del co-arquitecto del proyecto, seguida por comentarios detallados sobre la gobernanza y los desafíos de comunicación en Unity.</w:t>
      </w:r>
    </w:p>
    <w:p w14:paraId="7C235C9B"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73A490EE"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Presentación de Julio César Quiroga (11:02 PDT): Maria Mercedes Espinosa presentó a Julio César Quiroga Rubio como el otro arquitecto del proyecto Unity, señalando que ambos atenderán cualquier solicitud de información.</w:t>
      </w:r>
    </w:p>
    <w:p w14:paraId="0B58E696"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92C029"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Comentarios de Julio César Quiroga:</w:t>
      </w:r>
    </w:p>
    <w:p w14:paraId="54E2E386"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1F3F649F"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 xml:space="preserve">Gobernanza y Procesos: </w:t>
      </w:r>
    </w:p>
    <w:p w14:paraId="5E03F28A"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Existe un área de gobierno que certifica todos los diseños y valida la intervención de los distintos proveedores. El proceso implica que el proveedor diseña, el área de gobierno valida, un tercer proveedor realiza el guionizado, y después de la certificación, el proceso pasa a construcción. Toda esta gobernanza y los artefactos están concentrados en Confluence (conflicts en la transcripción). Además, el área de cops (DevOps) gestiona los despliegues y aplica sus propios controles.</w:t>
      </w:r>
    </w:p>
    <w:p w14:paraId="587C7C9C"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C55CC4"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 xml:space="preserve">Puntos de Dolor: </w:t>
      </w:r>
    </w:p>
    <w:p w14:paraId="40849ADA"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Comunicación y Falta de Entendimiento: Un problema recurrente es la falta de entendimiento y comunicación dentro de la cultura organizacional, lo que genera problemas. Existe mucha gente intermedia que no ejecuta y con la que el equipo de arquitectura interactúa, pero que a veces no tiene el entendimiento de la parte técnica. Esto resulta en que la información no baja correctamente al tercero que va a ejecutar, causando problemas de comunicación, falta de entendimiento y atrasos.</w:t>
      </w:r>
    </w:p>
    <w:p w14:paraId="3A357A42"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30A00062"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 xml:space="preserve">Arquitectura y Proveedores: </w:t>
      </w:r>
    </w:p>
    <w:p w14:paraId="053B713E"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El equipo de arquitectura se enfoca en validar y revisar que todas las arquitecturas de capa cumplan con las políticas y estándares del grupo, incluyendo seguridad, cifrado, front-end e integraciones. Desafortunadamente, muchos de los aplicativos de Unity no pasaron la revisión desde un inicio, y el proceso de revisión comenzó apenas en abril del año pasado. Existe una fricción con el proveedor, ya que no es muy flexible y vende una "solución de caja" que no se adapta tan fácilmente a ciertos esquemas de se</w:t>
      </w:r>
      <w:r>
        <w:rPr>
          <w:rFonts w:ascii="Google Sans" w:hAnsi="Google Sans" w:cs="Calibri"/>
          <w:color w:val="201F1E"/>
          <w:sz w:val="21"/>
          <w:szCs w:val="21"/>
        </w:rPr>
        <w:t>guridad.</w:t>
      </w:r>
    </w:p>
    <w:p w14:paraId="54740F7E"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038348EB"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b/>
          <w:bCs/>
          <w:color w:val="201F1E"/>
          <w:sz w:val="21"/>
          <w:szCs w:val="21"/>
        </w:rPr>
        <w:t>Cierre de la Sesión</w:t>
      </w:r>
    </w:p>
    <w:p w14:paraId="5E910150" w14:textId="77777777" w:rsidR="00065719" w:rsidRDefault="00065719">
      <w:pPr>
        <w:pStyle w:val="NormalWeb"/>
        <w:spacing w:before="0" w:beforeAutospacing="0" w:after="0" w:afterAutospacing="0"/>
        <w:rPr>
          <w:rFonts w:ascii="Google Sans" w:hAnsi="Google Sans" w:cs="Calibri"/>
          <w:color w:val="201F1E"/>
          <w:sz w:val="21"/>
          <w:szCs w:val="21"/>
        </w:rPr>
      </w:pPr>
      <w:r>
        <w:rPr>
          <w:rFonts w:ascii="Google Sans" w:hAnsi="Google Sans" w:cs="Calibri"/>
          <w:color w:val="201F1E"/>
          <w:sz w:val="21"/>
          <w:szCs w:val="21"/>
        </w:rPr>
        <w:t>Pablo Lorenzo Díaz agradeció la información y formalizó la solicitud para que Maria Mercedes Espinosa comparta el informe inicial de 135 hallazgos por correo electrónico, reiterando que estarán en contacto después de Pascua para continuar las conversaciones.</w:t>
      </w:r>
    </w:p>
    <w:p w14:paraId="7BEC3EC3" w14:textId="77777777" w:rsidR="00065719" w:rsidRDefault="00065719">
      <w:pPr>
        <w:pStyle w:val="NormalWeb"/>
        <w:spacing w:before="0" w:beforeAutospacing="0" w:after="0" w:afterAutospacing="0"/>
        <w:rPr>
          <w:rFonts w:ascii="Calibri" w:hAnsi="Calibri" w:cs="Calibri"/>
          <w:color w:val="201F1E"/>
          <w:sz w:val="21"/>
          <w:szCs w:val="21"/>
        </w:rPr>
      </w:pPr>
      <w:r>
        <w:rPr>
          <w:rFonts w:ascii="Calibri" w:hAnsi="Calibri" w:cs="Calibri"/>
          <w:color w:val="201F1E"/>
          <w:sz w:val="21"/>
          <w:szCs w:val="21"/>
        </w:rPr>
        <w:t> </w:t>
      </w:r>
    </w:p>
    <w:p w14:paraId="3130C3D7"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36D5D278" w14:textId="77777777" w:rsidR="00065719" w:rsidRDefault="00065719">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26 de Marzo de 2026 de 11:30 a 12:00</w:t>
      </w:r>
    </w:p>
    <w:p w14:paraId="43F80462"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CCD05AF"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005FDB80" w14:textId="77777777" w:rsidR="00065719" w:rsidRDefault="00065719">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Maria Mercedes</w:t>
      </w:r>
    </w:p>
    <w:p w14:paraId="78747791" w14:textId="77777777" w:rsidR="00065719" w:rsidRDefault="00065719">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Julio Cesar Quiroga</w:t>
      </w:r>
    </w:p>
    <w:p w14:paraId="271BED1D"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6447ED"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2328397F"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59329447"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046F4B27"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3CA2C519"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4B70372F"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2B01DD84"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019BE9D2" w14:textId="77777777" w:rsidR="00065719" w:rsidRDefault="00065719">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5565E119"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7964AF"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186266" w14:textId="77777777" w:rsidR="00065719" w:rsidRDefault="0006571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26.Mar.26 Alondra Cárdenas</w:t>
      </w:r>
    </w:p>
    <w:p w14:paraId="1E8387D9" w14:textId="77777777" w:rsidR="00065719" w:rsidRDefault="0006571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36FF4A6D" w14:textId="77777777" w:rsidR="00065719" w:rsidRDefault="0006571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7AD71315" w14:textId="77777777" w:rsidR="00065719" w:rsidRDefault="0006571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040484"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3D2E0768" w14:textId="77777777" w:rsidR="00065719" w:rsidRDefault="00065719">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26 de Marzo de 2026 de 12:00 a 13:00</w:t>
      </w:r>
    </w:p>
    <w:p w14:paraId="29DEF740"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9C01D40"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0A2F19A3" w14:textId="77777777" w:rsidR="00065719" w:rsidRDefault="00065719">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Alondra Cárdenas</w:t>
      </w:r>
    </w:p>
    <w:p w14:paraId="4BF73F95" w14:textId="77777777" w:rsidR="00065719" w:rsidRDefault="00065719">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Rodrigo Kennedy</w:t>
      </w:r>
    </w:p>
    <w:p w14:paraId="674F07E6"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DEEFB6A" w14:textId="77777777" w:rsidR="00065719" w:rsidRDefault="00065719">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342FEAD3"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2D5067E9"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00AF2586"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5A3F2AEB"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445E5DC7"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73406984"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091CDF13" w14:textId="77777777" w:rsidR="00065719" w:rsidRDefault="00065719">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E49"/>
    <w:multiLevelType w:val="multilevel"/>
    <w:tmpl w:val="1C1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645238"/>
    <w:multiLevelType w:val="multilevel"/>
    <w:tmpl w:val="051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4B1C20"/>
    <w:multiLevelType w:val="multilevel"/>
    <w:tmpl w:val="574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92C31"/>
    <w:multiLevelType w:val="multilevel"/>
    <w:tmpl w:val="0C9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2659D0"/>
    <w:multiLevelType w:val="multilevel"/>
    <w:tmpl w:val="81A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4E3D15"/>
    <w:multiLevelType w:val="multilevel"/>
    <w:tmpl w:val="1F9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6106CB"/>
    <w:multiLevelType w:val="multilevel"/>
    <w:tmpl w:val="9E0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B13B03"/>
    <w:multiLevelType w:val="multilevel"/>
    <w:tmpl w:val="404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75744D"/>
    <w:multiLevelType w:val="multilevel"/>
    <w:tmpl w:val="E78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5C0942"/>
    <w:multiLevelType w:val="multilevel"/>
    <w:tmpl w:val="97E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2C2EDA"/>
    <w:multiLevelType w:val="multilevel"/>
    <w:tmpl w:val="180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0646A2"/>
    <w:multiLevelType w:val="multilevel"/>
    <w:tmpl w:val="12F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55002D"/>
    <w:multiLevelType w:val="multilevel"/>
    <w:tmpl w:val="C10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290AFC"/>
    <w:multiLevelType w:val="multilevel"/>
    <w:tmpl w:val="186A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302B35"/>
    <w:multiLevelType w:val="multilevel"/>
    <w:tmpl w:val="AFC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F22742"/>
    <w:multiLevelType w:val="multilevel"/>
    <w:tmpl w:val="963E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8B6F9D"/>
    <w:multiLevelType w:val="multilevel"/>
    <w:tmpl w:val="D72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0920A2"/>
    <w:multiLevelType w:val="multilevel"/>
    <w:tmpl w:val="584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7C0F59"/>
    <w:multiLevelType w:val="multilevel"/>
    <w:tmpl w:val="F02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56025B"/>
    <w:multiLevelType w:val="multilevel"/>
    <w:tmpl w:val="27F0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6761436">
    <w:abstractNumId w:val="16"/>
  </w:num>
  <w:num w:numId="2" w16cid:durableId="316298877">
    <w:abstractNumId w:val="10"/>
  </w:num>
  <w:num w:numId="3" w16cid:durableId="296420312">
    <w:abstractNumId w:val="6"/>
  </w:num>
  <w:num w:numId="4" w16cid:durableId="1817448533">
    <w:abstractNumId w:val="3"/>
  </w:num>
  <w:num w:numId="5" w16cid:durableId="946234328">
    <w:abstractNumId w:val="8"/>
  </w:num>
  <w:num w:numId="6" w16cid:durableId="255597749">
    <w:abstractNumId w:val="2"/>
  </w:num>
  <w:num w:numId="7" w16cid:durableId="362874557">
    <w:abstractNumId w:val="0"/>
  </w:num>
  <w:num w:numId="8" w16cid:durableId="153886460">
    <w:abstractNumId w:val="5"/>
  </w:num>
  <w:num w:numId="9" w16cid:durableId="672337648">
    <w:abstractNumId w:val="18"/>
  </w:num>
  <w:num w:numId="10" w16cid:durableId="312872621">
    <w:abstractNumId w:val="12"/>
  </w:num>
  <w:num w:numId="11" w16cid:durableId="206334908">
    <w:abstractNumId w:val="9"/>
  </w:num>
  <w:num w:numId="12" w16cid:durableId="1445343657">
    <w:abstractNumId w:val="15"/>
  </w:num>
  <w:num w:numId="13" w16cid:durableId="265119008">
    <w:abstractNumId w:val="11"/>
  </w:num>
  <w:num w:numId="14" w16cid:durableId="683166056">
    <w:abstractNumId w:val="14"/>
  </w:num>
  <w:num w:numId="15" w16cid:durableId="247076337">
    <w:abstractNumId w:val="13"/>
  </w:num>
  <w:num w:numId="16" w16cid:durableId="885265145">
    <w:abstractNumId w:val="17"/>
  </w:num>
  <w:num w:numId="17" w16cid:durableId="163322529">
    <w:abstractNumId w:val="1"/>
  </w:num>
  <w:num w:numId="18" w16cid:durableId="86080404">
    <w:abstractNumId w:val="7"/>
  </w:num>
  <w:num w:numId="19" w16cid:durableId="1838111292">
    <w:abstractNumId w:val="4"/>
  </w:num>
  <w:num w:numId="20" w16cid:durableId="11668264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719"/>
    <w:rsid w:val="00065719"/>
    <w:rsid w:val="00C8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B2B2F"/>
  <w15:chartTrackingRefBased/>
  <w15:docId w15:val="{6735D4D7-0949-4EC3-8473-6899A2F4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meet/answer/16024610" TargetMode="External"/><Relationship Id="rId11" Type="http://schemas.openxmlformats.org/officeDocument/2006/relationships/customXml" Target="../customXml/item3.xml"/><Relationship Id="rId5" Type="http://schemas.openxmlformats.org/officeDocument/2006/relationships/hyperlink" Target="https://support.google.com/meet/answer/1602461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00BF4267-42A5-4E0F-870C-EE3463E94A38}"/>
</file>

<file path=customXml/itemProps2.xml><?xml version="1.0" encoding="utf-8"?>
<ds:datastoreItem xmlns:ds="http://schemas.openxmlformats.org/officeDocument/2006/customXml" ds:itemID="{142B6340-75CA-4809-8DE1-FACF72FC4821}"/>
</file>

<file path=customXml/itemProps3.xml><?xml version="1.0" encoding="utf-8"?>
<ds:datastoreItem xmlns:ds="http://schemas.openxmlformats.org/officeDocument/2006/customXml" ds:itemID="{3CDC727C-31EF-4254-A47A-982FCA7B065E}"/>
</file>

<file path=docProps/app.xml><?xml version="1.0" encoding="utf-8"?>
<Properties xmlns="http://schemas.openxmlformats.org/officeDocument/2006/extended-properties" xmlns:vt="http://schemas.openxmlformats.org/officeDocument/2006/docPropsVTypes">
  <Template>Normal</Template>
  <TotalTime>0</TotalTime>
  <Pages>3</Pages>
  <Words>1843</Words>
  <Characters>10511</Characters>
  <Application>Microsoft Office Word</Application>
  <DocSecurity>0</DocSecurity>
  <Lines>87</Lines>
  <Paragraphs>24</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2026-03-27T03:12:00Z</dcterms:created>
  <dcterms:modified xsi:type="dcterms:W3CDTF">2026-03-27T03:12:00Z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