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E113" w14:textId="77777777" w:rsidR="000522D0" w:rsidRPr="000522D0" w:rsidRDefault="000522D0" w:rsidP="000522D0">
      <w:pPr>
        <w:rPr>
          <w:lang w:val="es-ES_tradnl"/>
        </w:rPr>
      </w:pPr>
      <w:r w:rsidRPr="000522D0">
        <w:rPr>
          <w:b/>
          <w:bCs/>
          <w:lang w:val="es-ES_tradnl"/>
        </w:rPr>
        <w:t>Minuta Detallada - Alineación Christian - ACN</w:t>
      </w:r>
      <w:r w:rsidRPr="000522D0">
        <w:rPr>
          <w:lang w:val="es-ES_tradnl"/>
        </w:rPr>
        <w:br/>
      </w:r>
      <w:r w:rsidRPr="000522D0">
        <w:rPr>
          <w:lang w:val="es-ES_tradnl"/>
        </w:rPr>
        <w:br/>
      </w:r>
      <w:r w:rsidRPr="000522D0">
        <w:rPr>
          <w:b/>
          <w:bCs/>
          <w:lang w:val="es-ES_tradnl"/>
        </w:rPr>
        <w:t>Fecha:</w:t>
      </w:r>
      <w:r w:rsidRPr="000522D0">
        <w:rPr>
          <w:lang w:val="es-ES_tradnl"/>
        </w:rPr>
        <w:t> 28 de abril de 2026</w:t>
      </w:r>
      <w:r w:rsidRPr="000522D0">
        <w:rPr>
          <w:lang w:val="es-ES_tradnl"/>
        </w:rPr>
        <w:br/>
      </w:r>
      <w:r w:rsidRPr="000522D0">
        <w:rPr>
          <w:lang w:val="es-ES_tradnl"/>
        </w:rPr>
        <w:br/>
      </w:r>
      <w:r w:rsidRPr="000522D0">
        <w:rPr>
          <w:b/>
          <w:bCs/>
          <w:lang w:val="es-ES_tradnl"/>
        </w:rPr>
        <w:t>Participantes:</w:t>
      </w:r>
    </w:p>
    <w:p w14:paraId="19783A18" w14:textId="77777777" w:rsidR="000522D0" w:rsidRPr="000522D0" w:rsidRDefault="000522D0" w:rsidP="000522D0">
      <w:pPr>
        <w:numPr>
          <w:ilvl w:val="0"/>
          <w:numId w:val="7"/>
        </w:numPr>
        <w:rPr>
          <w:lang w:val="en-US"/>
        </w:rPr>
      </w:pPr>
      <w:r w:rsidRPr="000522D0">
        <w:rPr>
          <w:lang w:val="en-US"/>
        </w:rPr>
        <w:t>Pablo Lorenzo Diaz</w:t>
      </w:r>
    </w:p>
    <w:p w14:paraId="34597A4C" w14:textId="77777777" w:rsidR="000522D0" w:rsidRPr="000522D0" w:rsidRDefault="000522D0" w:rsidP="000522D0">
      <w:pPr>
        <w:numPr>
          <w:ilvl w:val="0"/>
          <w:numId w:val="7"/>
        </w:numPr>
        <w:rPr>
          <w:lang w:val="es-ES_tradnl"/>
        </w:rPr>
      </w:pPr>
      <w:r w:rsidRPr="000522D0">
        <w:rPr>
          <w:lang w:val="es-ES_tradnl"/>
        </w:rPr>
        <w:t>Christian Alfonso Zazueta Treviño (Cristian)</w:t>
      </w:r>
    </w:p>
    <w:p w14:paraId="67B57C57" w14:textId="77777777" w:rsidR="000522D0" w:rsidRPr="000522D0" w:rsidRDefault="000522D0" w:rsidP="000522D0">
      <w:pPr>
        <w:numPr>
          <w:ilvl w:val="0"/>
          <w:numId w:val="7"/>
        </w:numPr>
        <w:rPr>
          <w:lang w:val="en-US"/>
        </w:rPr>
      </w:pPr>
      <w:r w:rsidRPr="000522D0">
        <w:rPr>
          <w:lang w:val="en-US"/>
        </w:rPr>
        <w:t>Daniela Morales Beckmann (Daniela)</w:t>
      </w:r>
    </w:p>
    <w:p w14:paraId="3870016E" w14:textId="0B1419CB" w:rsidR="000522D0" w:rsidRPr="000522D0" w:rsidRDefault="000522D0" w:rsidP="000522D0">
      <w:pPr>
        <w:numPr>
          <w:ilvl w:val="0"/>
          <w:numId w:val="7"/>
        </w:numPr>
        <w:rPr>
          <w:lang w:val="es-ES_tradnl"/>
        </w:rPr>
      </w:pPr>
      <w:r w:rsidRPr="000522D0">
        <w:rPr>
          <w:lang w:val="es-ES_tradnl"/>
        </w:rPr>
        <w:t xml:space="preserve">Lukasz Andrzej Pietrzyk </w:t>
      </w:r>
    </w:p>
    <w:p w14:paraId="3BF39B0C" w14:textId="77777777" w:rsidR="000522D0" w:rsidRPr="000522D0" w:rsidRDefault="000522D0" w:rsidP="000522D0">
      <w:pPr>
        <w:numPr>
          <w:ilvl w:val="0"/>
          <w:numId w:val="7"/>
        </w:numPr>
        <w:rPr>
          <w:lang w:val="en-US"/>
        </w:rPr>
      </w:pPr>
      <w:r w:rsidRPr="000522D0">
        <w:rPr>
          <w:lang w:val="en-US"/>
        </w:rPr>
        <w:t>Joaquin Ernesto Antonio Pichardo</w:t>
      </w:r>
    </w:p>
    <w:p w14:paraId="0B8FFD25" w14:textId="77777777" w:rsidR="000522D0" w:rsidRPr="000522D0" w:rsidRDefault="000522D0" w:rsidP="000522D0">
      <w:pPr>
        <w:rPr>
          <w:lang w:val="es-ES_tradnl"/>
        </w:rPr>
      </w:pPr>
      <w:r w:rsidRPr="000522D0">
        <w:rPr>
          <w:b/>
          <w:bCs/>
          <w:lang w:val="es-ES_tradnl"/>
        </w:rPr>
        <w:t>I. Enfoque Metodológico y Pruebas Transversales</w:t>
      </w:r>
      <w:r w:rsidRPr="000522D0">
        <w:rPr>
          <w:lang w:val="es-ES_tradnl"/>
        </w:rPr>
        <w:br/>
      </w:r>
      <w:r w:rsidRPr="000522D0">
        <w:rPr>
          <w:lang w:val="es-ES_tradnl"/>
        </w:rPr>
        <w:br/>
        <w:t xml:space="preserve">El plan integral del proyecto Unity transforma los insumos de las </w:t>
      </w:r>
      <w:r w:rsidRPr="000522D0">
        <w:rPr>
          <w:i/>
          <w:iCs/>
          <w:lang w:val="es-ES_tradnl"/>
        </w:rPr>
        <w:t>streams</w:t>
      </w:r>
      <w:r w:rsidRPr="000522D0">
        <w:rPr>
          <w:lang w:val="es-ES_tradnl"/>
        </w:rPr>
        <w:t xml:space="preserve"> en un </w:t>
      </w:r>
      <w:r w:rsidRPr="000522D0">
        <w:rPr>
          <w:i/>
          <w:iCs/>
          <w:lang w:val="es-ES_tradnl"/>
        </w:rPr>
        <w:t>roadmap</w:t>
      </w:r>
      <w:r w:rsidRPr="000522D0">
        <w:rPr>
          <w:lang w:val="es-ES_tradnl"/>
        </w:rPr>
        <w:t> consolidado. El plan segmenta los esfuerzos en solución, integraciones, ETL/migración, y pruebas.</w:t>
      </w:r>
      <w:r w:rsidRPr="000522D0">
        <w:rPr>
          <w:lang w:val="es-ES_tradnl"/>
        </w:rPr>
        <w:br/>
      </w:r>
      <w:r w:rsidRPr="000522D0">
        <w:rPr>
          <w:lang w:val="es-ES_tradnl"/>
        </w:rPr>
        <w:br/>
      </w:r>
      <w:r w:rsidRPr="000522D0">
        <w:rPr>
          <w:b/>
          <w:bCs/>
          <w:lang w:val="es-ES_tradnl"/>
        </w:rPr>
        <w:t>Metodología de Pruebas Propuesta:</w:t>
      </w:r>
      <w:r w:rsidRPr="000522D0">
        <w:rPr>
          <w:lang w:val="es-ES_tradnl"/>
        </w:rPr>
        <w:br/>
        <w:t xml:space="preserve">Se propuso una metodología de </w:t>
      </w:r>
      <w:r w:rsidRPr="000522D0">
        <w:rPr>
          <w:i/>
          <w:iCs/>
          <w:lang w:val="es-ES_tradnl"/>
        </w:rPr>
        <w:t>testing</w:t>
      </w:r>
      <w:r w:rsidRPr="000522D0">
        <w:rPr>
          <w:lang w:val="es-ES_tradnl"/>
        </w:rPr>
        <w:t> transversal con las siguientes características:</w:t>
      </w:r>
    </w:p>
    <w:p w14:paraId="2DEF297E" w14:textId="77777777" w:rsidR="000522D0" w:rsidRPr="000522D0" w:rsidRDefault="000522D0" w:rsidP="000522D0">
      <w:pPr>
        <w:numPr>
          <w:ilvl w:val="0"/>
          <w:numId w:val="8"/>
        </w:numPr>
        <w:rPr>
          <w:lang w:val="es-ES_tradnl"/>
        </w:rPr>
      </w:pPr>
      <w:r w:rsidRPr="000522D0">
        <w:rPr>
          <w:lang w:val="es-ES_tradnl"/>
        </w:rPr>
        <w:t>Fases de Pruebas de Integración de Sistemas (SIT) y Pruebas de Aceptación de Usuario (UAT) de tres meses cada una, con ciclos internos de un mes.</w:t>
      </w:r>
    </w:p>
    <w:p w14:paraId="4B179154" w14:textId="77777777" w:rsidR="000522D0" w:rsidRPr="000522D0" w:rsidRDefault="000522D0" w:rsidP="000522D0">
      <w:pPr>
        <w:numPr>
          <w:ilvl w:val="0"/>
          <w:numId w:val="8"/>
        </w:numPr>
        <w:rPr>
          <w:lang w:val="es-ES_tradnl"/>
        </w:rPr>
      </w:pPr>
      <w:r w:rsidRPr="000522D0">
        <w:rPr>
          <w:lang w:val="es-ES_tradnl"/>
        </w:rPr>
        <w:t>Pruebas no funcionales (rendimiento y seguridad) que deben ejecutarse en paralelo.</w:t>
      </w:r>
    </w:p>
    <w:p w14:paraId="622F1316" w14:textId="77777777" w:rsidR="000522D0" w:rsidRPr="000522D0" w:rsidRDefault="000522D0" w:rsidP="000522D0">
      <w:pPr>
        <w:numPr>
          <w:ilvl w:val="0"/>
          <w:numId w:val="8"/>
        </w:numPr>
        <w:rPr>
          <w:lang w:val="es-ES_tradnl"/>
        </w:rPr>
      </w:pPr>
      <w:r w:rsidRPr="000522D0">
        <w:rPr>
          <w:lang w:val="es-ES_tradnl"/>
        </w:rPr>
        <w:t xml:space="preserve">Realización de </w:t>
      </w:r>
      <w:r w:rsidRPr="000522D0">
        <w:rPr>
          <w:i/>
          <w:iCs/>
          <w:lang w:val="es-ES_tradnl"/>
        </w:rPr>
        <w:t>dress rehearsals</w:t>
      </w:r>
      <w:r w:rsidRPr="000522D0">
        <w:rPr>
          <w:lang w:val="es-ES_tradnl"/>
        </w:rPr>
        <w:t> (simulacros de producción) con una duración de tres meses, consistentes en tres simulacros de un mes cada uno.</w:t>
      </w:r>
    </w:p>
    <w:p w14:paraId="42FC2F73" w14:textId="77777777" w:rsidR="000522D0" w:rsidRPr="000522D0" w:rsidRDefault="000522D0" w:rsidP="000522D0">
      <w:pPr>
        <w:numPr>
          <w:ilvl w:val="0"/>
          <w:numId w:val="8"/>
        </w:numPr>
        <w:rPr>
          <w:lang w:val="es-ES_tradnl"/>
        </w:rPr>
      </w:pPr>
      <w:r w:rsidRPr="000522D0">
        <w:rPr>
          <w:lang w:val="es-ES_tradnl"/>
        </w:rPr>
        <w:t>Los simulacros deben ser una validación total que involucre a Negocio, operaciones, TI y QA (Control de Calidad).</w:t>
      </w:r>
    </w:p>
    <w:p w14:paraId="5FB51D4D" w14:textId="77777777" w:rsidR="000522D0" w:rsidRPr="000522D0" w:rsidRDefault="000522D0" w:rsidP="000522D0">
      <w:pPr>
        <w:rPr>
          <w:lang w:val="es-ES_tradnl"/>
        </w:rPr>
      </w:pPr>
      <w:r w:rsidRPr="000522D0">
        <w:rPr>
          <w:b/>
          <w:bCs/>
          <w:lang w:val="es-ES_tradnl"/>
        </w:rPr>
        <w:t>Ambientes de Prueba y Migración:</w:t>
      </w:r>
      <w:r w:rsidRPr="000522D0">
        <w:rPr>
          <w:lang w:val="es-ES_tradnl"/>
        </w:rPr>
        <w:br/>
        <w:t>Se concluyó que se requieren varios entornos para las pruebas:</w:t>
      </w:r>
    </w:p>
    <w:p w14:paraId="4231FA99" w14:textId="77777777" w:rsidR="000522D0" w:rsidRPr="000522D0" w:rsidRDefault="000522D0" w:rsidP="000522D0">
      <w:pPr>
        <w:numPr>
          <w:ilvl w:val="0"/>
          <w:numId w:val="9"/>
        </w:numPr>
        <w:rPr>
          <w:lang w:val="es-ES_tradnl"/>
        </w:rPr>
      </w:pPr>
      <w:r w:rsidRPr="000522D0">
        <w:rPr>
          <w:lang w:val="es-ES_tradnl"/>
        </w:rPr>
        <w:t>Uno o dos entornos para pruebas SIT y UAT.</w:t>
      </w:r>
    </w:p>
    <w:p w14:paraId="1267A171" w14:textId="77777777" w:rsidR="000522D0" w:rsidRPr="000522D0" w:rsidRDefault="000522D0" w:rsidP="000522D0">
      <w:pPr>
        <w:numPr>
          <w:ilvl w:val="0"/>
          <w:numId w:val="9"/>
        </w:numPr>
        <w:rPr>
          <w:lang w:val="es-ES_tradnl"/>
        </w:rPr>
      </w:pPr>
      <w:r w:rsidRPr="000522D0">
        <w:rPr>
          <w:lang w:val="es-ES_tradnl"/>
        </w:rPr>
        <w:t>Un ambiente preproductivo con datos para las pruebas no funcionales, seguridad y performance.</w:t>
      </w:r>
    </w:p>
    <w:p w14:paraId="2CA92812" w14:textId="5D37F4D7" w:rsidR="000522D0" w:rsidRPr="000522D0" w:rsidRDefault="000522D0" w:rsidP="000522D0">
      <w:pPr>
        <w:numPr>
          <w:ilvl w:val="0"/>
          <w:numId w:val="9"/>
        </w:numPr>
        <w:rPr>
          <w:lang w:val="es-ES_tradnl"/>
        </w:rPr>
      </w:pPr>
      <w:r w:rsidRPr="000522D0">
        <w:rPr>
          <w:lang w:val="es-ES_tradnl"/>
        </w:rPr>
        <w:t xml:space="preserve">Un entorno de migración propio para realizar pruebas </w:t>
      </w:r>
      <w:r w:rsidR="004024D8">
        <w:rPr>
          <w:lang w:val="es-ES_tradnl"/>
        </w:rPr>
        <w:t>end to end (</w:t>
      </w:r>
      <w:r w:rsidRPr="000522D0">
        <w:rPr>
          <w:i/>
          <w:iCs/>
          <w:lang w:val="es-ES_tradnl"/>
        </w:rPr>
        <w:t>Mock</w:t>
      </w:r>
      <w:r w:rsidR="004024D8">
        <w:rPr>
          <w:lang w:val="es-ES_tradnl"/>
        </w:rPr>
        <w:t>s)</w:t>
      </w:r>
      <w:r w:rsidRPr="000522D0">
        <w:rPr>
          <w:lang w:val="es-ES_tradnl"/>
        </w:rPr>
        <w:t xml:space="preserve"> de migración.</w:t>
      </w:r>
    </w:p>
    <w:p w14:paraId="44F29BA9" w14:textId="77777777" w:rsidR="00CB5086" w:rsidRDefault="000522D0" w:rsidP="000522D0">
      <w:pPr>
        <w:rPr>
          <w:lang w:val="es-ES_tradnl"/>
        </w:rPr>
      </w:pPr>
      <w:r w:rsidRPr="000522D0">
        <w:rPr>
          <w:b/>
          <w:bCs/>
          <w:lang w:val="es-ES_tradnl"/>
        </w:rPr>
        <w:lastRenderedPageBreak/>
        <w:t>II. Proyecto Atlas (MDM y Golden Record)</w:t>
      </w:r>
      <w:r w:rsidRPr="000522D0">
        <w:rPr>
          <w:lang w:val="es-ES_tradnl"/>
        </w:rPr>
        <w:br/>
      </w:r>
      <w:r w:rsidRPr="000522D0">
        <w:rPr>
          <w:lang w:val="es-ES_tradnl"/>
        </w:rPr>
        <w:br/>
      </w:r>
      <w:r w:rsidRPr="000522D0">
        <w:rPr>
          <w:b/>
          <w:bCs/>
          <w:lang w:val="es-ES_tradnl"/>
        </w:rPr>
        <w:t>Dependencias Críticas:</w:t>
      </w:r>
      <w:r w:rsidRPr="000522D0">
        <w:rPr>
          <w:lang w:val="es-ES_tradnl"/>
        </w:rPr>
        <w:br/>
        <w:t xml:space="preserve">La Fase 1 de Atlas (fundamentos) no impacta el </w:t>
      </w:r>
      <w:r w:rsidRPr="000522D0">
        <w:rPr>
          <w:i/>
          <w:iCs/>
          <w:lang w:val="es-ES_tradnl"/>
        </w:rPr>
        <w:t>roadmap</w:t>
      </w:r>
      <w:r w:rsidRPr="000522D0">
        <w:rPr>
          <w:lang w:val="es-ES_tradnl"/>
        </w:rPr>
        <w:t xml:space="preserve"> integral. La Fase 2 es crítica, ya que se planifica la puesta en producción del </w:t>
      </w:r>
      <w:r w:rsidRPr="000522D0">
        <w:rPr>
          <w:i/>
          <w:iCs/>
          <w:lang w:val="es-ES_tradnl"/>
        </w:rPr>
        <w:t>Master Data Management</w:t>
      </w:r>
      <w:r w:rsidRPr="000522D0">
        <w:rPr>
          <w:lang w:val="es-ES_tradnl"/>
        </w:rPr>
        <w:t xml:space="preserve"> (MDM) con el </w:t>
      </w:r>
      <w:r w:rsidRPr="000522D0">
        <w:rPr>
          <w:i/>
          <w:iCs/>
          <w:lang w:val="es-ES_tradnl"/>
        </w:rPr>
        <w:t>Golden Record</w:t>
      </w:r>
      <w:r w:rsidRPr="000522D0">
        <w:rPr>
          <w:lang w:val="es-ES_tradnl"/>
        </w:rPr>
        <w:t> a finales de septiembre de 2026. Este hito es una dependencia crítica que debe completarse antes de la migración de tarjeta de crédito en Smart Vista, la cual se proyecta para diciembre de 2026 en el mejor de los casos.</w:t>
      </w:r>
      <w:r w:rsidRPr="000522D0">
        <w:rPr>
          <w:lang w:val="es-ES_tradnl"/>
        </w:rPr>
        <w:br/>
      </w:r>
      <w:r w:rsidRPr="000522D0">
        <w:rPr>
          <w:lang w:val="es-ES_tradnl"/>
        </w:rPr>
        <w:br/>
      </w:r>
      <w:r w:rsidRPr="000522D0">
        <w:rPr>
          <w:b/>
          <w:bCs/>
          <w:lang w:val="es-ES_tradnl"/>
        </w:rPr>
        <w:t>Integración del Golden Record:</w:t>
      </w:r>
      <w:r w:rsidRPr="000522D0">
        <w:rPr>
          <w:lang w:val="es-ES_tradnl"/>
        </w:rPr>
        <w:br/>
        <w:t xml:space="preserve">El hito de finales de septiembre de 2026 solo considera la carga de datos en el MDM. Aún falta definir la integración detallada del MDM con las plataformas y canales, lo que incluye la definición de APIs y las conexiones entre nubes (el MDM en Google Cloud y Smart Vista/Transact en AWS). Lukasz Andrzej Pietrzyk Polaca manifestó preocupación por la latencia en la integración del </w:t>
      </w:r>
      <w:r w:rsidRPr="000522D0">
        <w:rPr>
          <w:i/>
          <w:iCs/>
          <w:lang w:val="es-ES_tradnl"/>
        </w:rPr>
        <w:t>Golden Record</w:t>
      </w:r>
      <w:r w:rsidRPr="000522D0">
        <w:rPr>
          <w:lang w:val="es-ES_tradnl"/>
        </w:rPr>
        <w:t xml:space="preserve"> con los consumidores tanto en la nube (AWS) como </w:t>
      </w:r>
      <w:r w:rsidRPr="000522D0">
        <w:rPr>
          <w:i/>
          <w:iCs/>
          <w:lang w:val="es-ES_tradnl"/>
        </w:rPr>
        <w:t>Onprem</w:t>
      </w:r>
      <w:r w:rsidRPr="000522D0">
        <w:rPr>
          <w:lang w:val="es-ES_tradnl"/>
        </w:rPr>
        <w:t>.</w:t>
      </w:r>
      <w:r w:rsidRPr="000522D0">
        <w:rPr>
          <w:lang w:val="es-ES_tradnl"/>
        </w:rPr>
        <w:br/>
      </w:r>
      <w:r w:rsidRPr="000522D0">
        <w:rPr>
          <w:lang w:val="es-ES_tradnl"/>
        </w:rPr>
        <w:br/>
      </w:r>
      <w:r w:rsidRPr="000522D0">
        <w:rPr>
          <w:b/>
          <w:bCs/>
          <w:lang w:val="es-ES_tradnl"/>
        </w:rPr>
        <w:t>Riesgo de Participación de Negocio:</w:t>
      </w:r>
      <w:r w:rsidRPr="000522D0">
        <w:rPr>
          <w:lang w:val="es-ES_tradnl"/>
        </w:rPr>
        <w:br/>
        <w:t xml:space="preserve">Se identificó un riesgo en el proyecto Atlas por la falta de </w:t>
      </w:r>
      <w:r w:rsidRPr="000522D0">
        <w:rPr>
          <w:i/>
          <w:iCs/>
          <w:lang w:val="es-ES_tradnl"/>
        </w:rPr>
        <w:t>sponsorship</w:t>
      </w:r>
      <w:r w:rsidRPr="000522D0">
        <w:rPr>
          <w:lang w:val="es-ES_tradnl"/>
        </w:rPr>
        <w:t xml:space="preserve"> y participación del área de Negocio. Negocio debe ser parte del comité y proporcionar las definiciones para el </w:t>
      </w:r>
      <w:r w:rsidRPr="000522D0">
        <w:rPr>
          <w:i/>
          <w:iCs/>
          <w:lang w:val="es-ES_tradnl"/>
        </w:rPr>
        <w:t>Golden Record</w:t>
      </w:r>
      <w:r w:rsidRPr="000522D0">
        <w:rPr>
          <w:lang w:val="es-ES_tradnl"/>
        </w:rPr>
        <w:t>, pero el equipo percibe que no están asumiendo la responsabilidad necesaria.</w:t>
      </w:r>
    </w:p>
    <w:p w14:paraId="707300F8" w14:textId="2A4A798A" w:rsidR="000522D0" w:rsidRPr="000522D0" w:rsidRDefault="000522D0" w:rsidP="000522D0">
      <w:pPr>
        <w:rPr>
          <w:lang w:val="es-ES_tradnl"/>
        </w:rPr>
      </w:pPr>
      <w:r w:rsidRPr="000522D0">
        <w:rPr>
          <w:b/>
          <w:bCs/>
          <w:lang w:val="es-ES_tradnl"/>
        </w:rPr>
        <w:t>III. Estrategia y Desafíos de Migración</w:t>
      </w:r>
      <w:r w:rsidRPr="000522D0">
        <w:rPr>
          <w:lang w:val="es-ES_tradnl"/>
        </w:rPr>
        <w:br/>
      </w:r>
      <w:r w:rsidRPr="000522D0">
        <w:rPr>
          <w:lang w:val="es-ES_tradnl"/>
        </w:rPr>
        <w:br/>
      </w:r>
      <w:r w:rsidRPr="000522D0">
        <w:rPr>
          <w:b/>
          <w:bCs/>
          <w:lang w:val="es-ES_tradnl"/>
        </w:rPr>
        <w:t>Capacidad de Migración Transversal:</w:t>
      </w:r>
      <w:r w:rsidRPr="000522D0">
        <w:rPr>
          <w:lang w:val="es-ES_tradnl"/>
        </w:rPr>
        <w:br/>
        <w:t xml:space="preserve">Se mantiene la visión de tener un equipo de migración transversal para el portafolio Unity, actualmente en una fase de fortalecimiento de capacidad. Se reiteró la propuesta de que este equipo transversal debe gestionar y ejecutar los </w:t>
      </w:r>
      <w:r w:rsidRPr="000522D0">
        <w:rPr>
          <w:i/>
          <w:iCs/>
          <w:lang w:val="es-ES_tradnl"/>
        </w:rPr>
        <w:t xml:space="preserve">Mock </w:t>
      </w:r>
      <w:r w:rsidRPr="000522D0">
        <w:rPr>
          <w:lang w:val="es-ES_tradnl"/>
        </w:rPr>
        <w:t xml:space="preserve">estabilizadores en un ambiente integrado. El marco de </w:t>
      </w:r>
      <w:r w:rsidRPr="000522D0">
        <w:rPr>
          <w:i/>
          <w:iCs/>
          <w:lang w:val="es-ES_tradnl"/>
        </w:rPr>
        <w:t>Operational Readiness</w:t>
      </w:r>
      <w:r w:rsidRPr="000522D0">
        <w:rPr>
          <w:lang w:val="es-ES_tradnl"/>
        </w:rPr>
        <w:t> existe, pero es muy técnico y se considera aspiracional y parcial, necesitando complementarse con una visión de simulacros de producción.</w:t>
      </w:r>
      <w:r w:rsidRPr="000522D0">
        <w:rPr>
          <w:lang w:val="es-ES_tradnl"/>
        </w:rPr>
        <w:br/>
      </w:r>
      <w:r w:rsidRPr="000522D0">
        <w:rPr>
          <w:lang w:val="es-ES_tradnl"/>
        </w:rPr>
        <w:br/>
      </w:r>
      <w:r w:rsidRPr="000522D0">
        <w:rPr>
          <w:b/>
          <w:bCs/>
          <w:lang w:val="es-ES_tradnl"/>
        </w:rPr>
        <w:t>Coexistencia del Legado:</w:t>
      </w:r>
      <w:r w:rsidRPr="000522D0">
        <w:rPr>
          <w:lang w:val="es-ES_tradnl"/>
        </w:rPr>
        <w:br/>
        <w:t>Existe dificultad para identificar un punto de contacto único para todo el legado. La única persona del legado que se ha acercado para tratar temas de coexistencia con la migración, especialmente en banca empresarial, es Martín Alejandro López, de Control Operativo.</w:t>
      </w:r>
      <w:r w:rsidRPr="000522D0">
        <w:rPr>
          <w:lang w:val="es-ES_tradnl"/>
        </w:rPr>
        <w:br/>
      </w:r>
      <w:r w:rsidRPr="000522D0">
        <w:rPr>
          <w:lang w:val="es-ES_tradnl"/>
        </w:rPr>
        <w:br/>
      </w:r>
      <w:r w:rsidRPr="000522D0">
        <w:rPr>
          <w:b/>
          <w:bCs/>
          <w:lang w:val="es-ES_tradnl"/>
        </w:rPr>
        <w:t>Riesgo Normativo con ID de Producto en Smart Vista:</w:t>
      </w:r>
      <w:r w:rsidRPr="000522D0">
        <w:rPr>
          <w:lang w:val="es-ES_tradnl"/>
        </w:rPr>
        <w:br/>
      </w:r>
      <w:r w:rsidRPr="000522D0">
        <w:rPr>
          <w:lang w:val="es-ES_tradnl"/>
        </w:rPr>
        <w:lastRenderedPageBreak/>
        <w:t>Se identificó un riesgo normativo debido al cambio de ID de producto de la tarjeta de crédito clásica:</w:t>
      </w:r>
    </w:p>
    <w:p w14:paraId="06F92069" w14:textId="77777777" w:rsidR="000522D0" w:rsidRPr="000522D0" w:rsidRDefault="000522D0" w:rsidP="000522D0">
      <w:pPr>
        <w:numPr>
          <w:ilvl w:val="0"/>
          <w:numId w:val="10"/>
        </w:numPr>
        <w:rPr>
          <w:lang w:val="en-US"/>
        </w:rPr>
      </w:pPr>
      <w:r w:rsidRPr="000522D0">
        <w:rPr>
          <w:b/>
          <w:bCs/>
          <w:lang w:val="en-US"/>
        </w:rPr>
        <w:t>ID Legado:</w:t>
      </w:r>
      <w:r w:rsidRPr="000522D0">
        <w:rPr>
          <w:lang w:val="en-US"/>
        </w:rPr>
        <w:t> 6001.</w:t>
      </w:r>
    </w:p>
    <w:p w14:paraId="1E5D086E" w14:textId="77777777" w:rsidR="000522D0" w:rsidRPr="000522D0" w:rsidRDefault="000522D0" w:rsidP="000522D0">
      <w:pPr>
        <w:numPr>
          <w:ilvl w:val="0"/>
          <w:numId w:val="10"/>
        </w:numPr>
        <w:rPr>
          <w:lang w:val="es-ES_tradnl"/>
        </w:rPr>
      </w:pPr>
      <w:r w:rsidRPr="000522D0">
        <w:rPr>
          <w:b/>
          <w:bCs/>
          <w:lang w:val="es-ES_tradnl"/>
        </w:rPr>
        <w:t>ID en Smart Vista:</w:t>
      </w:r>
      <w:r w:rsidRPr="000522D0">
        <w:rPr>
          <w:lang w:val="es-ES_tradnl"/>
        </w:rPr>
        <w:t> 4900.</w:t>
      </w:r>
      <w:r w:rsidRPr="000522D0">
        <w:rPr>
          <w:lang w:val="es-ES_tradnl"/>
        </w:rPr>
        <w:br/>
        <w:t>El ID 4900 no está declarado ante el Banco de México, lo que podría generar observaciones o multas de la Comisión Nacional Bancaria y de Valores. Se acordó proceder con la migración al ID 4900, pero esto requerirá un esfuerzo adicional no mapeado para modificar los reportes operativos y regulatorios y gestionar la convivencia entre ambos IDs.</w:t>
      </w:r>
    </w:p>
    <w:p w14:paraId="478742B9" w14:textId="77777777" w:rsidR="00B067EC" w:rsidRDefault="000522D0" w:rsidP="000522D0">
      <w:pPr>
        <w:rPr>
          <w:lang w:val="es-ES_tradnl"/>
        </w:rPr>
      </w:pPr>
      <w:r w:rsidRPr="000522D0">
        <w:rPr>
          <w:b/>
          <w:bCs/>
          <w:lang w:val="es-ES_tradnl"/>
        </w:rPr>
        <w:t>Brecha Metodológica entre Smart Vista y Transact:</w:t>
      </w:r>
      <w:r w:rsidRPr="000522D0">
        <w:rPr>
          <w:lang w:val="es-ES_tradnl"/>
        </w:rPr>
        <w:br/>
        <w:t>Las metodologías de migración de Smart Vista y Transact están completamente aisladas. Smart Vista tiene más claridad, mientras que el equipo de Transact está en etapas muy iniciales de definición, considerando sus fechas aspiracionales. Se estableció la estrategia de utilizar la metodología de migración trabajada con IWI para la tarjeta de crédito como habilitador y continuidad para la migración minorista de Transact.</w:t>
      </w:r>
    </w:p>
    <w:p w14:paraId="721924D9" w14:textId="03DCC53C" w:rsidR="000522D0" w:rsidRPr="000522D0" w:rsidRDefault="000522D0" w:rsidP="000522D0">
      <w:pPr>
        <w:rPr>
          <w:lang w:val="es-ES_tradnl"/>
        </w:rPr>
      </w:pPr>
      <w:r w:rsidRPr="000522D0">
        <w:rPr>
          <w:b/>
          <w:bCs/>
          <w:lang w:val="es-ES_tradnl"/>
        </w:rPr>
        <w:t>IV. Próximos Pasos</w:t>
      </w:r>
    </w:p>
    <w:p w14:paraId="49A77E36" w14:textId="77777777" w:rsidR="000522D0" w:rsidRPr="000522D0" w:rsidRDefault="000522D0" w:rsidP="000522D0">
      <w:pPr>
        <w:numPr>
          <w:ilvl w:val="0"/>
          <w:numId w:val="11"/>
        </w:numPr>
        <w:rPr>
          <w:lang w:val="es-ES_tradnl"/>
        </w:rPr>
      </w:pPr>
      <w:r w:rsidRPr="000522D0">
        <w:rPr>
          <w:b/>
          <w:bCs/>
          <w:lang w:val="es-ES_tradnl"/>
        </w:rPr>
        <w:t>Cristian</w:t>
      </w:r>
      <w:r w:rsidRPr="000522D0">
        <w:rPr>
          <w:lang w:val="es-ES_tradnl"/>
        </w:rPr>
        <w:t> debe compartir el plan de trabajo de Atlas.</w:t>
      </w:r>
    </w:p>
    <w:p w14:paraId="39A1AE51" w14:textId="77777777" w:rsidR="000522D0" w:rsidRPr="000522D0" w:rsidRDefault="000522D0" w:rsidP="000522D0">
      <w:pPr>
        <w:numPr>
          <w:ilvl w:val="0"/>
          <w:numId w:val="11"/>
        </w:numPr>
        <w:rPr>
          <w:lang w:val="es-ES_tradnl"/>
        </w:rPr>
      </w:pPr>
      <w:r w:rsidRPr="000522D0">
        <w:rPr>
          <w:b/>
          <w:bCs/>
          <w:lang w:val="es-ES_tradnl"/>
        </w:rPr>
        <w:t>Cristian</w:t>
      </w:r>
      <w:r w:rsidRPr="000522D0">
        <w:rPr>
          <w:lang w:val="es-ES_tradnl"/>
        </w:rPr>
        <w:t> debe compartir el documento de definición funcional de la carga de datos en Smart Vista con BPC.</w:t>
      </w:r>
    </w:p>
    <w:p w14:paraId="0AA924F5" w14:textId="77777777" w:rsidR="000522D0" w:rsidRPr="000522D0" w:rsidRDefault="000522D0" w:rsidP="000522D0">
      <w:pPr>
        <w:numPr>
          <w:ilvl w:val="0"/>
          <w:numId w:val="11"/>
        </w:numPr>
        <w:rPr>
          <w:lang w:val="es-ES_tradnl"/>
        </w:rPr>
      </w:pPr>
      <w:r w:rsidRPr="000522D0">
        <w:rPr>
          <w:b/>
          <w:bCs/>
          <w:lang w:val="es-ES_tradnl"/>
        </w:rPr>
        <w:t>Daniela</w:t>
      </w:r>
      <w:r w:rsidRPr="000522D0">
        <w:rPr>
          <w:lang w:val="es-ES_tradnl"/>
        </w:rPr>
        <w:t> debe invitar a Cristian a las reuniones semanales de Smart Vista, Transact y Apolo, considerando que Smart Vista y Transact son las migraciones más críticas.</w:t>
      </w:r>
    </w:p>
    <w:p w14:paraId="13C9577C" w14:textId="77777777" w:rsidR="001B42A6" w:rsidRPr="000522D0" w:rsidRDefault="001B42A6" w:rsidP="000522D0">
      <w:pPr>
        <w:rPr>
          <w:lang w:val="es-ES_tradnl"/>
        </w:rPr>
      </w:pPr>
    </w:p>
    <w:sectPr w:rsidR="001B42A6" w:rsidRPr="00052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432A7"/>
    <w:multiLevelType w:val="multilevel"/>
    <w:tmpl w:val="F32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A7ACD"/>
    <w:multiLevelType w:val="multilevel"/>
    <w:tmpl w:val="CF7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62BEF"/>
    <w:multiLevelType w:val="multilevel"/>
    <w:tmpl w:val="45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C4881"/>
    <w:multiLevelType w:val="multilevel"/>
    <w:tmpl w:val="994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7417E"/>
    <w:multiLevelType w:val="multilevel"/>
    <w:tmpl w:val="8C4E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F76F3"/>
    <w:multiLevelType w:val="multilevel"/>
    <w:tmpl w:val="4F3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A12E73"/>
    <w:multiLevelType w:val="multilevel"/>
    <w:tmpl w:val="3E1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C202D"/>
    <w:multiLevelType w:val="multilevel"/>
    <w:tmpl w:val="2D8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D51CD"/>
    <w:multiLevelType w:val="multilevel"/>
    <w:tmpl w:val="C57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9000F"/>
    <w:multiLevelType w:val="multilevel"/>
    <w:tmpl w:val="F4E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878BD"/>
    <w:multiLevelType w:val="multilevel"/>
    <w:tmpl w:val="704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903770">
    <w:abstractNumId w:val="6"/>
  </w:num>
  <w:num w:numId="2" w16cid:durableId="1829244899">
    <w:abstractNumId w:val="5"/>
  </w:num>
  <w:num w:numId="3" w16cid:durableId="1475216009">
    <w:abstractNumId w:val="1"/>
  </w:num>
  <w:num w:numId="4" w16cid:durableId="485587503">
    <w:abstractNumId w:val="8"/>
  </w:num>
  <w:num w:numId="5" w16cid:durableId="92552618">
    <w:abstractNumId w:val="4"/>
  </w:num>
  <w:num w:numId="6" w16cid:durableId="1418475923">
    <w:abstractNumId w:val="9"/>
  </w:num>
  <w:num w:numId="7" w16cid:durableId="1191407634">
    <w:abstractNumId w:val="2"/>
  </w:num>
  <w:num w:numId="8" w16cid:durableId="561406865">
    <w:abstractNumId w:val="3"/>
  </w:num>
  <w:num w:numId="9" w16cid:durableId="1397703291">
    <w:abstractNumId w:val="10"/>
  </w:num>
  <w:num w:numId="10" w16cid:durableId="63766816">
    <w:abstractNumId w:val="0"/>
  </w:num>
  <w:num w:numId="11" w16cid:durableId="1564832064">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02"/>
    <w:rsid w:val="00001247"/>
    <w:rsid w:val="000522D0"/>
    <w:rsid w:val="000A5699"/>
    <w:rsid w:val="000A7A87"/>
    <w:rsid w:val="000C7416"/>
    <w:rsid w:val="00110103"/>
    <w:rsid w:val="00142357"/>
    <w:rsid w:val="001B42A6"/>
    <w:rsid w:val="001E1589"/>
    <w:rsid w:val="001F2124"/>
    <w:rsid w:val="0020618C"/>
    <w:rsid w:val="00256DFA"/>
    <w:rsid w:val="002718DE"/>
    <w:rsid w:val="00306953"/>
    <w:rsid w:val="003570FF"/>
    <w:rsid w:val="003A16F3"/>
    <w:rsid w:val="003C5F30"/>
    <w:rsid w:val="004024D8"/>
    <w:rsid w:val="00403722"/>
    <w:rsid w:val="00482902"/>
    <w:rsid w:val="00514845"/>
    <w:rsid w:val="005574CE"/>
    <w:rsid w:val="00586270"/>
    <w:rsid w:val="006008FE"/>
    <w:rsid w:val="00602FD6"/>
    <w:rsid w:val="006562BE"/>
    <w:rsid w:val="00677D2F"/>
    <w:rsid w:val="00682E4C"/>
    <w:rsid w:val="006943FC"/>
    <w:rsid w:val="006A1872"/>
    <w:rsid w:val="006B582C"/>
    <w:rsid w:val="006F5404"/>
    <w:rsid w:val="00726C37"/>
    <w:rsid w:val="00795C40"/>
    <w:rsid w:val="007B0C45"/>
    <w:rsid w:val="00832D9D"/>
    <w:rsid w:val="00901C05"/>
    <w:rsid w:val="00A600B0"/>
    <w:rsid w:val="00A76CB1"/>
    <w:rsid w:val="00AA3A31"/>
    <w:rsid w:val="00AE3F6D"/>
    <w:rsid w:val="00AF66D5"/>
    <w:rsid w:val="00B06320"/>
    <w:rsid w:val="00B067EC"/>
    <w:rsid w:val="00B30B78"/>
    <w:rsid w:val="00B5798C"/>
    <w:rsid w:val="00B63C6F"/>
    <w:rsid w:val="00B70FBC"/>
    <w:rsid w:val="00B96D76"/>
    <w:rsid w:val="00BF7F12"/>
    <w:rsid w:val="00C054C3"/>
    <w:rsid w:val="00C1482F"/>
    <w:rsid w:val="00C161AD"/>
    <w:rsid w:val="00C219AB"/>
    <w:rsid w:val="00C259D1"/>
    <w:rsid w:val="00CB5086"/>
    <w:rsid w:val="00D86E3D"/>
    <w:rsid w:val="00E236FC"/>
    <w:rsid w:val="00E4462A"/>
    <w:rsid w:val="00E82D87"/>
    <w:rsid w:val="00F13F1B"/>
    <w:rsid w:val="00F54A69"/>
    <w:rsid w:val="00F7519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1C7A"/>
  <w15:chartTrackingRefBased/>
  <w15:docId w15:val="{D8FD1CF0-792D-443C-A495-6C11798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02"/>
    <w:rPr>
      <w:rFonts w:eastAsiaTheme="majorEastAsia" w:cstheme="majorBidi"/>
      <w:color w:val="272727" w:themeColor="text1" w:themeTint="D8"/>
    </w:rPr>
  </w:style>
  <w:style w:type="paragraph" w:styleId="Title">
    <w:name w:val="Title"/>
    <w:basedOn w:val="Normal"/>
    <w:next w:val="Normal"/>
    <w:link w:val="TitleChar"/>
    <w:uiPriority w:val="10"/>
    <w:qFormat/>
    <w:rsid w:val="0048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82902"/>
    <w:rPr>
      <w:i/>
      <w:iCs/>
      <w:color w:val="404040" w:themeColor="text1" w:themeTint="BF"/>
    </w:rPr>
  </w:style>
  <w:style w:type="paragraph" w:styleId="ListParagraph">
    <w:name w:val="List Paragraph"/>
    <w:basedOn w:val="Normal"/>
    <w:uiPriority w:val="34"/>
    <w:qFormat/>
    <w:rsid w:val="00482902"/>
    <w:pPr>
      <w:ind w:left="720"/>
      <w:contextualSpacing/>
    </w:pPr>
  </w:style>
  <w:style w:type="character" w:styleId="IntenseEmphasis">
    <w:name w:val="Intense Emphasis"/>
    <w:basedOn w:val="DefaultParagraphFont"/>
    <w:uiPriority w:val="21"/>
    <w:qFormat/>
    <w:rsid w:val="00482902"/>
    <w:rPr>
      <w:i/>
      <w:iCs/>
      <w:color w:val="0F4761" w:themeColor="accent1" w:themeShade="BF"/>
    </w:rPr>
  </w:style>
  <w:style w:type="paragraph" w:styleId="IntenseQuote">
    <w:name w:val="Intense Quote"/>
    <w:basedOn w:val="Normal"/>
    <w:next w:val="Normal"/>
    <w:link w:val="IntenseQuoteChar"/>
    <w:uiPriority w:val="30"/>
    <w:qFormat/>
    <w:rsid w:val="0048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02"/>
    <w:rPr>
      <w:i/>
      <w:iCs/>
      <w:color w:val="0F4761" w:themeColor="accent1" w:themeShade="BF"/>
    </w:rPr>
  </w:style>
  <w:style w:type="character" w:styleId="IntenseReference">
    <w:name w:val="Intense Reference"/>
    <w:basedOn w:val="DefaultParagraphFont"/>
    <w:uiPriority w:val="32"/>
    <w:qFormat/>
    <w:rsid w:val="0048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1CA7D04-B064-4F6F-BD04-E0A425A608C7}">
  <ds:schemaRefs>
    <ds:schemaRef ds:uri="http://schemas.openxmlformats.org/officeDocument/2006/bibliography"/>
  </ds:schemaRefs>
</ds:datastoreItem>
</file>

<file path=customXml/itemProps2.xml><?xml version="1.0" encoding="utf-8"?>
<ds:datastoreItem xmlns:ds="http://schemas.openxmlformats.org/officeDocument/2006/customXml" ds:itemID="{6AB3E8E1-D873-4315-96AD-5B3020F40CF2}"/>
</file>

<file path=customXml/itemProps3.xml><?xml version="1.0" encoding="utf-8"?>
<ds:datastoreItem xmlns:ds="http://schemas.openxmlformats.org/officeDocument/2006/customXml" ds:itemID="{AD013953-2203-44E3-94C5-B5CF06E024E8}"/>
</file>

<file path=customXml/itemProps4.xml><?xml version="1.0" encoding="utf-8"?>
<ds:datastoreItem xmlns:ds="http://schemas.openxmlformats.org/officeDocument/2006/customXml" ds:itemID="{ADA3C2A8-97B2-4476-B06C-3BAE5D3A9C00}"/>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748</Words>
  <Characters>4109</Characters>
  <Application>Microsoft Office Word</Application>
  <DocSecurity>0</DocSecurity>
  <Lines>77</Lines>
  <Paragraphs>29</Paragraphs>
  <ScaleCrop>false</ScaleCrop>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7</cp:revision>
  <dcterms:created xsi:type="dcterms:W3CDTF">2026-04-30T00:10:00Z</dcterms:created>
  <dcterms:modified xsi:type="dcterms:W3CDTF">2026-04-30T00:15:00Z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