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F1856" w14:textId="77777777" w:rsidR="00FB2B9A" w:rsidRDefault="00FB2B9A">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6.Abr.2026 - DRP Transact</w:t>
      </w:r>
    </w:p>
    <w:p w14:paraId="1CD58AF6" w14:textId="77777777" w:rsidR="00FB2B9A" w:rsidRDefault="00FB2B9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April 6, 2026</w:t>
      </w:r>
    </w:p>
    <w:p w14:paraId="4740D29D" w14:textId="77777777" w:rsidR="00FB2B9A" w:rsidRDefault="00FB2B9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11:05 AM</w:t>
      </w:r>
    </w:p>
    <w:p w14:paraId="1CDCA34F" w14:textId="77777777" w:rsidR="00FB2B9A" w:rsidRDefault="00FB2B9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71D21C" w14:textId="77777777" w:rsidR="00FB2B9A" w:rsidRDefault="00FB2B9A">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y hora:</w:t>
      </w:r>
    </w:p>
    <w:p w14:paraId="44964FCB" w14:textId="77777777" w:rsidR="00FB2B9A" w:rsidRDefault="00FB2B9A">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6 de Abril de 2026 de 11:00 a 15:30</w:t>
      </w:r>
    </w:p>
    <w:p w14:paraId="557FED7F" w14:textId="77777777" w:rsidR="00FB2B9A" w:rsidRDefault="00FB2B9A">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7C6F74E" w14:textId="77777777" w:rsidR="00FB2B9A" w:rsidRDefault="00FB2B9A">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BCP (Presencial):</w:t>
      </w:r>
    </w:p>
    <w:p w14:paraId="170A40D5" w14:textId="77777777" w:rsidR="00FB2B9A" w:rsidRDefault="00FB2B9A">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Lizbeth (Responsable temporal DRP)</w:t>
      </w:r>
    </w:p>
    <w:p w14:paraId="7F65E884" w14:textId="77777777" w:rsidR="00FB2B9A" w:rsidRDefault="00FB2B9A">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Arturo</w:t>
      </w:r>
    </w:p>
    <w:p w14:paraId="0396188D" w14:textId="77777777" w:rsidR="00FB2B9A" w:rsidRDefault="00FB2B9A">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Octavio</w:t>
      </w:r>
    </w:p>
    <w:p w14:paraId="303891CB" w14:textId="77777777" w:rsidR="00FB2B9A" w:rsidRDefault="00FB2B9A">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X</w:t>
      </w:r>
    </w:p>
    <w:p w14:paraId="053DF7E9" w14:textId="77777777" w:rsidR="00FB2B9A" w:rsidRDefault="00FB2B9A">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Miguel Bucio</w:t>
      </w:r>
    </w:p>
    <w:p w14:paraId="355C4CFC" w14:textId="77777777" w:rsidR="00FB2B9A" w:rsidRDefault="00FB2B9A">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Juan Manuel Fernandez</w:t>
      </w:r>
    </w:p>
    <w:p w14:paraId="310220E3" w14:textId="77777777" w:rsidR="00FB2B9A" w:rsidRDefault="00FB2B9A">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9B466ED" w14:textId="77777777" w:rsidR="00FB2B9A" w:rsidRDefault="00FB2B9A">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BCP (Online):</w:t>
      </w:r>
    </w:p>
    <w:p w14:paraId="58DD705B" w14:textId="77777777" w:rsidR="00FB2B9A" w:rsidRDefault="00FB2B9A">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Jose David Urias Montoya</w:t>
      </w:r>
    </w:p>
    <w:p w14:paraId="422C403B" w14:textId="77777777" w:rsidR="00FB2B9A" w:rsidRDefault="00FB2B9A">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X</w:t>
      </w:r>
    </w:p>
    <w:p w14:paraId="36A8E3DD" w14:textId="77777777" w:rsidR="00FB2B9A" w:rsidRDefault="00FB2B9A">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83A5341" w14:textId="77777777" w:rsidR="00FB2B9A" w:rsidRDefault="00FB2B9A">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ACN (Presencial):</w:t>
      </w:r>
    </w:p>
    <w:p w14:paraId="4098A068" w14:textId="77777777" w:rsidR="00FB2B9A" w:rsidRDefault="00FB2B9A">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Salomon Monroy</w:t>
      </w:r>
    </w:p>
    <w:p w14:paraId="3A4E8DAC" w14:textId="77777777" w:rsidR="00FB2B9A" w:rsidRDefault="00FB2B9A">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Alejandro Alonso García</w:t>
      </w:r>
    </w:p>
    <w:p w14:paraId="729DDBCB" w14:textId="77777777" w:rsidR="00FB2B9A" w:rsidRDefault="00FB2B9A">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Pablo Lorenzo Diaz</w:t>
      </w:r>
    </w:p>
    <w:p w14:paraId="2D05F28F" w14:textId="77777777" w:rsidR="00FB2B9A" w:rsidRDefault="00FB2B9A">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Omar Patron</w:t>
      </w:r>
    </w:p>
    <w:p w14:paraId="58371C82" w14:textId="77777777" w:rsidR="00FB2B9A" w:rsidRDefault="00FB2B9A">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Ricardo Gonzalez Ludlow</w:t>
      </w:r>
    </w:p>
    <w:p w14:paraId="554D88C8" w14:textId="77777777" w:rsidR="00FB2B9A" w:rsidRDefault="00FB2B9A">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Navajas Helguero</w:t>
      </w:r>
    </w:p>
    <w:p w14:paraId="1A854D88" w14:textId="77777777" w:rsidR="00FB2B9A" w:rsidRDefault="00FB2B9A">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 </w:t>
      </w:r>
    </w:p>
    <w:p w14:paraId="06FC0AF7" w14:textId="77777777" w:rsidR="00FB2B9A" w:rsidRDefault="00FB2B9A">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ACN (Online):</w:t>
      </w:r>
    </w:p>
    <w:p w14:paraId="0E3D4DD2" w14:textId="77777777" w:rsidR="00FB2B9A" w:rsidRDefault="00FB2B9A">
      <w:pPr>
        <w:numPr>
          <w:ilvl w:val="0"/>
          <w:numId w:val="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Alejandro Gallegos</w:t>
      </w:r>
    </w:p>
    <w:p w14:paraId="60DF2B95" w14:textId="77777777" w:rsidR="00FB2B9A" w:rsidRDefault="00FB2B9A">
      <w:pPr>
        <w:numPr>
          <w:ilvl w:val="0"/>
          <w:numId w:val="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Pichardo</w:t>
      </w:r>
    </w:p>
    <w:p w14:paraId="6C97D91B" w14:textId="77777777" w:rsidR="00FB2B9A" w:rsidRDefault="00FB2B9A">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870C2D1" w14:textId="77777777" w:rsidR="00FB2B9A" w:rsidRDefault="00FB2B9A">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8EE95E1" w14:textId="77777777" w:rsidR="00FB2B9A" w:rsidRDefault="00FB2B9A">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3F8BD4B" w14:textId="77777777" w:rsidR="00FB2B9A" w:rsidRDefault="00FB2B9A">
      <w:pPr>
        <w:pStyle w:val="NormalWeb"/>
        <w:spacing w:before="0" w:beforeAutospacing="0" w:after="0" w:afterAutospacing="0"/>
        <w:rPr>
          <w:rFonts w:ascii="Google Sans" w:hAnsi="Google Sans" w:cs="Calibri"/>
          <w:color w:val="201F1E"/>
          <w:lang w:val="es-MX"/>
        </w:rPr>
      </w:pPr>
      <w:r>
        <w:rPr>
          <w:rFonts w:ascii="Google Sans" w:hAnsi="Google Sans" w:cs="Calibri"/>
          <w:b/>
          <w:bCs/>
          <w:color w:val="201F1E"/>
          <w:lang w:val="es-MX"/>
        </w:rPr>
        <w:t>Minuta Detallada: Workshop-DRP CSE</w:t>
      </w:r>
    </w:p>
    <w:p w14:paraId="6882B6F1" w14:textId="77777777" w:rsidR="00FB2B9A" w:rsidRDefault="00FB2B9A">
      <w:pPr>
        <w:pStyle w:val="NormalWeb"/>
        <w:spacing w:before="0" w:beforeAutospacing="0" w:after="0" w:afterAutospacing="0"/>
        <w:rPr>
          <w:rFonts w:ascii="Google Sans" w:hAnsi="Google Sans" w:cs="Calibri"/>
          <w:color w:val="201F1E"/>
          <w:sz w:val="22"/>
          <w:szCs w:val="22"/>
          <w:lang w:val="es-MX"/>
        </w:rPr>
      </w:pPr>
      <w:r>
        <w:rPr>
          <w:rFonts w:ascii="Google Sans" w:hAnsi="Google Sans" w:cs="Calibri"/>
          <w:b/>
          <w:bCs/>
          <w:color w:val="201F1E"/>
          <w:sz w:val="22"/>
          <w:szCs w:val="22"/>
          <w:lang w:val="es-MX"/>
        </w:rPr>
        <w:t>(Sesión de Alineación Técnica y Discovery)</w:t>
      </w:r>
    </w:p>
    <w:p w14:paraId="79B12D70"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color w:val="201F1E"/>
          <w:sz w:val="21"/>
          <w:szCs w:val="21"/>
          <w:lang w:val="es-MX"/>
        </w:rPr>
        <w:t>La reunión se convocó para alinear al equipo en las implicaciones del Plan de Recuperación ante Desastres (DRP) para la plataforma Transac del producto Crédito Simple Empresarial (CSE) y definir un plan de trabajo. La iniciativa surgió de un hallazgo de auditoría interna que detectó que la operación del CSE carece de un DRP.</w:t>
      </w:r>
    </w:p>
    <w:p w14:paraId="1D29257D" w14:textId="77777777" w:rsidR="00FB2B9A" w:rsidRDefault="00FB2B9A">
      <w:pPr>
        <w:pStyle w:val="NormalWeb"/>
        <w:spacing w:before="0" w:beforeAutospacing="0" w:after="0" w:afterAutospacing="0"/>
        <w:rPr>
          <w:rFonts w:ascii="Calibri" w:hAnsi="Calibri" w:cs="Calibri"/>
          <w:color w:val="201F1E"/>
          <w:sz w:val="22"/>
          <w:szCs w:val="22"/>
          <w:lang w:val="es-MX"/>
        </w:rPr>
      </w:pPr>
      <w:r>
        <w:rPr>
          <w:rFonts w:ascii="Calibri" w:hAnsi="Calibri" w:cs="Calibri"/>
          <w:color w:val="201F1E"/>
          <w:sz w:val="22"/>
          <w:szCs w:val="22"/>
          <w:lang w:val="es-MX"/>
        </w:rPr>
        <w:br/>
      </w:r>
      <w:r>
        <w:rPr>
          <w:rFonts w:ascii="Google Sans" w:hAnsi="Google Sans" w:cs="Calibri"/>
          <w:b/>
          <w:bCs/>
          <w:color w:val="201F1E"/>
          <w:sz w:val="21"/>
          <w:szCs w:val="21"/>
          <w:lang w:val="es-MX"/>
        </w:rPr>
        <w:t xml:space="preserve">I. </w:t>
      </w:r>
      <w:r>
        <w:rPr>
          <w:rFonts w:ascii="Google Sans" w:hAnsi="Google Sans" w:cs="Calibri"/>
          <w:b/>
          <w:bCs/>
          <w:color w:val="201F1E"/>
          <w:sz w:val="21"/>
          <w:szCs w:val="21"/>
          <w:lang w:val="es-MX"/>
        </w:rPr>
        <w:t>Propuesta Inicial y Contexto de la Fecha (Octavio Vazquez)</w:t>
      </w:r>
    </w:p>
    <w:p w14:paraId="4E8FF35E"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color w:val="201F1E"/>
          <w:sz w:val="21"/>
          <w:szCs w:val="21"/>
          <w:lang w:val="es-MX"/>
        </w:rPr>
        <w:t>Octavio (el orador de la Sala) presentó el contexto y la estrategia propuesta por el equipo:</w:t>
      </w:r>
    </w:p>
    <w:p w14:paraId="03783784" w14:textId="77777777" w:rsidR="00FB2B9A" w:rsidRDefault="00FB2B9A">
      <w:pPr>
        <w:numPr>
          <w:ilvl w:val="0"/>
          <w:numId w:val="6"/>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Fecha de Cumplimiento Original:</w:t>
      </w:r>
      <w:r>
        <w:rPr>
          <w:rFonts w:ascii="Google Sans" w:eastAsia="Times New Roman" w:hAnsi="Google Sans" w:cs="Calibri"/>
          <w:color w:val="201F1E"/>
          <w:sz w:val="21"/>
          <w:szCs w:val="21"/>
          <w:lang w:val="es-MX"/>
        </w:rPr>
        <w:t> La fecha anterior de Q1 2026 (Junio 2026) para el DRP de Transac fue asignada por ex-colaboradores sin un plan sustentado.</w:t>
      </w:r>
    </w:p>
    <w:p w14:paraId="35F678AD" w14:textId="77777777" w:rsidR="00FB2B9A" w:rsidRDefault="00FB2B9A">
      <w:pPr>
        <w:numPr>
          <w:ilvl w:val="0"/>
          <w:numId w:val="6"/>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Contrato Temenos y Ambientes:</w:t>
      </w:r>
      <w:r>
        <w:rPr>
          <w:rFonts w:ascii="Google Sans" w:eastAsia="Times New Roman" w:hAnsi="Google Sans" w:cs="Calibri"/>
          <w:color w:val="201F1E"/>
          <w:sz w:val="21"/>
          <w:szCs w:val="21"/>
          <w:lang w:val="es-MX"/>
        </w:rPr>
        <w:t> El contrato del fabricante (Temenos) no incluye la implementación del DRP, y los ambientes necesarios para la infraestructura no están listos.</w:t>
      </w:r>
    </w:p>
    <w:p w14:paraId="4B8067C1" w14:textId="77777777" w:rsidR="00FB2B9A" w:rsidRDefault="00FB2B9A">
      <w:pPr>
        <w:numPr>
          <w:ilvl w:val="0"/>
          <w:numId w:val="6"/>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lastRenderedPageBreak/>
        <w:t>Propuesta de Prórroga:</w:t>
      </w:r>
      <w:r>
        <w:rPr>
          <w:rFonts w:ascii="Google Sans" w:eastAsia="Times New Roman" w:hAnsi="Google Sans" w:cs="Calibri"/>
          <w:color w:val="201F1E"/>
          <w:sz w:val="21"/>
          <w:szCs w:val="21"/>
          <w:lang w:val="es-MX"/>
        </w:rPr>
        <w:t> Octavio sugirió formalizar la fecha de entrega del DRP de Transac hacia </w:t>
      </w:r>
      <w:r>
        <w:rPr>
          <w:rFonts w:ascii="Google Sans" w:eastAsia="Times New Roman" w:hAnsi="Google Sans" w:cs="Calibri"/>
          <w:b/>
          <w:bCs/>
          <w:color w:val="201F1E"/>
          <w:sz w:val="21"/>
          <w:szCs w:val="21"/>
          <w:lang w:val="es-MX"/>
        </w:rPr>
        <w:t>Q1 2027</w:t>
      </w:r>
      <w:r>
        <w:rPr>
          <w:rFonts w:ascii="Google Sans" w:eastAsia="Times New Roman" w:hAnsi="Google Sans" w:cs="Calibri"/>
          <w:color w:val="201F1E"/>
          <w:sz w:val="21"/>
          <w:szCs w:val="21"/>
          <w:lang w:val="es-MX"/>
        </w:rPr>
        <w:t> (posiblemente febrero o marzo). Esto se debe a que la primera mitad de enero es temporada alta, y la implementación podría aprovechar los meses de menor carga.</w:t>
      </w:r>
    </w:p>
    <w:p w14:paraId="181927F7" w14:textId="77777777" w:rsidR="00FB2B9A" w:rsidRDefault="00FB2B9A">
      <w:pPr>
        <w:numPr>
          <w:ilvl w:val="0"/>
          <w:numId w:val="6"/>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Prioridad vs. Cumplimiento:</w:t>
      </w:r>
      <w:r>
        <w:rPr>
          <w:rFonts w:ascii="Google Sans" w:eastAsia="Times New Roman" w:hAnsi="Google Sans" w:cs="Calibri"/>
          <w:color w:val="201F1E"/>
          <w:sz w:val="21"/>
          <w:szCs w:val="21"/>
          <w:lang w:val="es-MX"/>
        </w:rPr>
        <w:t> Argumentó que destinar recursos críticos al DRP de Transac ahora podría no ser la prioridad 10 de 50. La prioridad actual es el DRP de las </w:t>
      </w:r>
      <w:r>
        <w:rPr>
          <w:rFonts w:ascii="Google Sans" w:eastAsia="Times New Roman" w:hAnsi="Google Sans" w:cs="Calibri"/>
          <w:b/>
          <w:bCs/>
          <w:color w:val="201F1E"/>
          <w:sz w:val="21"/>
          <w:szCs w:val="21"/>
          <w:lang w:val="es-MX"/>
        </w:rPr>
        <w:t>"Joyas de la Corona"</w:t>
      </w:r>
      <w:r>
        <w:rPr>
          <w:rFonts w:ascii="Google Sans" w:eastAsia="Times New Roman" w:hAnsi="Google Sans" w:cs="Calibri"/>
          <w:color w:val="201F1E"/>
          <w:sz w:val="21"/>
          <w:szCs w:val="21"/>
          <w:lang w:val="es-MX"/>
        </w:rPr>
        <w:t> (alrededor de seis servicios críticos), cuyo plan se espera terminar hacia finales de año.</w:t>
      </w:r>
    </w:p>
    <w:p w14:paraId="181EE1D6" w14:textId="77777777" w:rsidR="00FB2B9A" w:rsidRDefault="00FB2B9A">
      <w:pPr>
        <w:numPr>
          <w:ilvl w:val="0"/>
          <w:numId w:val="6"/>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Función del DRP Básico:</w:t>
      </w:r>
      <w:r>
        <w:rPr>
          <w:rFonts w:ascii="Google Sans" w:eastAsia="Times New Roman" w:hAnsi="Google Sans" w:cs="Calibri"/>
          <w:color w:val="201F1E"/>
          <w:sz w:val="21"/>
          <w:szCs w:val="21"/>
          <w:lang w:val="es-MX"/>
        </w:rPr>
        <w:t> Un DRP basado en respaldos y restauraciones (backup and restore) cumpliría con la auditoría, pero los tiempos de restauración (24 a 72 horas) no satisfacen la resiliencia operativa real.</w:t>
      </w:r>
    </w:p>
    <w:p w14:paraId="73CA7D92"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3A403809"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b/>
          <w:bCs/>
          <w:color w:val="201F1E"/>
          <w:sz w:val="21"/>
          <w:szCs w:val="21"/>
          <w:lang w:val="es-MX"/>
        </w:rPr>
        <w:t>II. Intervención y Reto de Juan Manuel Fernandez Islas</w:t>
      </w:r>
    </w:p>
    <w:p w14:paraId="4CB27D9F"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color w:val="201F1E"/>
          <w:sz w:val="21"/>
          <w:szCs w:val="21"/>
          <w:lang w:val="es-MX"/>
        </w:rPr>
        <w:t>Juan Manuel, quien se unió tarde a la llamada, criticó la postura del equipo y desafió la estrategia de posponer el proyecto:</w:t>
      </w:r>
    </w:p>
    <w:p w14:paraId="768A1A1F" w14:textId="77777777" w:rsidR="00FB2B9A" w:rsidRDefault="00FB2B9A">
      <w:pPr>
        <w:numPr>
          <w:ilvl w:val="0"/>
          <w:numId w:val="7"/>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Crítica a la Justificación:</w:t>
      </w:r>
      <w:r>
        <w:rPr>
          <w:rFonts w:ascii="Google Sans" w:eastAsia="Times New Roman" w:hAnsi="Google Sans" w:cs="Calibri"/>
          <w:color w:val="201F1E"/>
          <w:sz w:val="21"/>
          <w:szCs w:val="21"/>
          <w:lang w:val="es-MX"/>
        </w:rPr>
        <w:t> Desestimó los argumentos del equipo como "puros pretextos" (como temporada alta o complejidad) para cambiar la fecha.</w:t>
      </w:r>
    </w:p>
    <w:p w14:paraId="2B18FD8A" w14:textId="77777777" w:rsidR="00FB2B9A" w:rsidRDefault="00FB2B9A">
      <w:pPr>
        <w:numPr>
          <w:ilvl w:val="0"/>
          <w:numId w:val="7"/>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Foco en Resiliencia Operativa:</w:t>
      </w:r>
      <w:r>
        <w:rPr>
          <w:rFonts w:ascii="Google Sans" w:eastAsia="Times New Roman" w:hAnsi="Google Sans" w:cs="Calibri"/>
          <w:color w:val="201F1E"/>
          <w:sz w:val="21"/>
          <w:szCs w:val="21"/>
          <w:lang w:val="es-MX"/>
        </w:rPr>
        <w:t> Insistió en que el equipo debe concentrarse en la </w:t>
      </w:r>
      <w:r>
        <w:rPr>
          <w:rFonts w:ascii="Google Sans" w:eastAsia="Times New Roman" w:hAnsi="Google Sans" w:cs="Calibri"/>
          <w:b/>
          <w:bCs/>
          <w:color w:val="201F1E"/>
          <w:sz w:val="21"/>
          <w:szCs w:val="21"/>
          <w:lang w:val="es-MX"/>
        </w:rPr>
        <w:t>resiliencia operativa</w:t>
      </w:r>
      <w:r>
        <w:rPr>
          <w:rFonts w:ascii="Google Sans" w:eastAsia="Times New Roman" w:hAnsi="Google Sans" w:cs="Calibri"/>
          <w:color w:val="201F1E"/>
          <w:sz w:val="21"/>
          <w:szCs w:val="21"/>
          <w:lang w:val="es-MX"/>
        </w:rPr>
        <w:t>, no solo en el </w:t>
      </w:r>
      <w:r>
        <w:rPr>
          <w:rFonts w:ascii="Google Sans" w:eastAsia="Times New Roman" w:hAnsi="Google Sans" w:cs="Calibri"/>
          <w:b/>
          <w:bCs/>
          <w:color w:val="201F1E"/>
          <w:sz w:val="21"/>
          <w:szCs w:val="21"/>
          <w:lang w:val="es-MX"/>
        </w:rPr>
        <w:t>cumplimiento regulatorio</w:t>
      </w:r>
      <w:r>
        <w:rPr>
          <w:rFonts w:ascii="Google Sans" w:eastAsia="Times New Roman" w:hAnsi="Google Sans" w:cs="Calibri"/>
          <w:color w:val="201F1E"/>
          <w:sz w:val="21"/>
          <w:szCs w:val="21"/>
          <w:lang w:val="es-MX"/>
        </w:rPr>
        <w:t> de auditoría. Argumentó que el banco lleva cinco años sin DRP en producción y que una caída podría ser catastrófica.</w:t>
      </w:r>
    </w:p>
    <w:p w14:paraId="78C36EB9" w14:textId="77777777" w:rsidR="00FB2B9A" w:rsidRDefault="00FB2B9A">
      <w:pPr>
        <w:numPr>
          <w:ilvl w:val="0"/>
          <w:numId w:val="7"/>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Acción Inmediata en Ambientes Previos:</w:t>
      </w:r>
      <w:r>
        <w:rPr>
          <w:rFonts w:ascii="Google Sans" w:eastAsia="Times New Roman" w:hAnsi="Google Sans" w:cs="Calibri"/>
          <w:color w:val="201F1E"/>
          <w:sz w:val="21"/>
          <w:szCs w:val="21"/>
          <w:lang w:val="es-MX"/>
        </w:rPr>
        <w:t> Exigió que el trabajo del DRP para Transac no espere hasta el siguiente año y debe comenzar en los </w:t>
      </w:r>
      <w:r>
        <w:rPr>
          <w:rFonts w:ascii="Google Sans" w:eastAsia="Times New Roman" w:hAnsi="Google Sans" w:cs="Calibri"/>
          <w:b/>
          <w:bCs/>
          <w:color w:val="201F1E"/>
          <w:sz w:val="21"/>
          <w:szCs w:val="21"/>
          <w:lang w:val="es-MX"/>
        </w:rPr>
        <w:t>ambientes previos</w:t>
      </w:r>
      <w:r>
        <w:rPr>
          <w:rFonts w:ascii="Google Sans" w:eastAsia="Times New Roman" w:hAnsi="Google Sans" w:cs="Calibri"/>
          <w:color w:val="201F1E"/>
          <w:sz w:val="21"/>
          <w:szCs w:val="21"/>
          <w:lang w:val="es-MX"/>
        </w:rPr>
        <w:t> (no productivos) de inmediato.</w:t>
      </w:r>
    </w:p>
    <w:p w14:paraId="7C7B9601" w14:textId="77777777" w:rsidR="00FB2B9A" w:rsidRDefault="00FB2B9A">
      <w:pPr>
        <w:numPr>
          <w:ilvl w:val="0"/>
          <w:numId w:val="7"/>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Inclusión Obligatoria de Consumo:</w:t>
      </w:r>
      <w:r>
        <w:rPr>
          <w:rFonts w:ascii="Google Sans" w:eastAsia="Times New Roman" w:hAnsi="Google Sans" w:cs="Calibri"/>
          <w:color w:val="201F1E"/>
          <w:sz w:val="21"/>
          <w:szCs w:val="21"/>
          <w:lang w:val="es-MX"/>
        </w:rPr>
        <w:t> Demandó que el plan para Crédito Simple Empresarial </w:t>
      </w:r>
      <w:r>
        <w:rPr>
          <w:rFonts w:ascii="Google Sans" w:eastAsia="Times New Roman" w:hAnsi="Google Sans" w:cs="Calibri"/>
          <w:b/>
          <w:bCs/>
          <w:color w:val="201F1E"/>
          <w:sz w:val="21"/>
          <w:szCs w:val="21"/>
          <w:lang w:val="es-MX"/>
        </w:rPr>
        <w:t>debe incluir el área de Unity de Consumo</w:t>
      </w:r>
      <w:r>
        <w:rPr>
          <w:rFonts w:ascii="Google Sans" w:eastAsia="Times New Roman" w:hAnsi="Google Sans" w:cs="Calibri"/>
          <w:color w:val="201F1E"/>
          <w:sz w:val="21"/>
          <w:szCs w:val="21"/>
          <w:lang w:val="es-MX"/>
        </w:rPr>
        <w:t xml:space="preserve">. Esto se debe a que el volumen de negocio de CSE es muy </w:t>
      </w:r>
      <w:r>
        <w:rPr>
          <w:rFonts w:ascii="Google Sans" w:eastAsia="Times New Roman" w:hAnsi="Google Sans" w:cs="Calibri"/>
          <w:color w:val="201F1E"/>
          <w:sz w:val="21"/>
          <w:szCs w:val="21"/>
          <w:lang w:val="es-MX"/>
        </w:rPr>
        <w:t>pequeño, y no justifica el esfuerzo si no es parte de un plan integral que también cubra Consumo.</w:t>
      </w:r>
    </w:p>
    <w:p w14:paraId="2C36ACA9" w14:textId="77777777" w:rsidR="00FB2B9A" w:rsidRDefault="00FB2B9A">
      <w:pPr>
        <w:numPr>
          <w:ilvl w:val="0"/>
          <w:numId w:val="7"/>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Búsqueda de Responsables:</w:t>
      </w:r>
      <w:r>
        <w:rPr>
          <w:rFonts w:ascii="Google Sans" w:eastAsia="Times New Roman" w:hAnsi="Google Sans" w:cs="Calibri"/>
          <w:color w:val="201F1E"/>
          <w:sz w:val="21"/>
          <w:szCs w:val="21"/>
          <w:lang w:val="es-MX"/>
        </w:rPr>
        <w:t> Retó al equipo a encontrar responsables si los líderes actuales (Arturo, Liz, Octavio) no pueden ejecutar la estrategia, ya que necesita avanzar en un plan integral del DRP de Transac ahora.</w:t>
      </w:r>
    </w:p>
    <w:p w14:paraId="488A9275"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07215BCA"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b/>
          <w:bCs/>
          <w:color w:val="201F1E"/>
          <w:sz w:val="21"/>
          <w:szCs w:val="21"/>
          <w:lang w:val="es-MX"/>
        </w:rPr>
        <w:t>III. Definición de Alcance y Hallazgos Técnicos</w:t>
      </w:r>
    </w:p>
    <w:p w14:paraId="25CAFA39"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color w:val="201F1E"/>
          <w:sz w:val="21"/>
          <w:szCs w:val="21"/>
          <w:lang w:val="es-MX"/>
        </w:rPr>
        <w:t>La discusión se centró en acotar el alcance inmediato para Transac y abordar los problemas técnicos de replicación.</w:t>
      </w:r>
    </w:p>
    <w:p w14:paraId="76EE2C21" w14:textId="77777777" w:rsidR="00FB2B9A" w:rsidRDefault="00FB2B9A">
      <w:pPr>
        <w:numPr>
          <w:ilvl w:val="0"/>
          <w:numId w:val="8"/>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Alcance Acotado de DRP:</w:t>
      </w:r>
      <w:r>
        <w:rPr>
          <w:rFonts w:ascii="Google Sans" w:eastAsia="Times New Roman" w:hAnsi="Google Sans" w:cs="Calibri"/>
          <w:color w:val="201F1E"/>
          <w:sz w:val="21"/>
          <w:szCs w:val="21"/>
          <w:lang w:val="es-MX"/>
        </w:rPr>
        <w:t> Juan Manuel y el equipo acordaron que el enfoque inicial sería solo en la </w:t>
      </w:r>
      <w:r>
        <w:rPr>
          <w:rFonts w:ascii="Google Sans" w:eastAsia="Times New Roman" w:hAnsi="Google Sans" w:cs="Calibri"/>
          <w:b/>
          <w:bCs/>
          <w:color w:val="201F1E"/>
          <w:sz w:val="21"/>
          <w:szCs w:val="21"/>
          <w:lang w:val="es-MX"/>
        </w:rPr>
        <w:t>capa aplicativa</w:t>
      </w:r>
      <w:r>
        <w:rPr>
          <w:rFonts w:ascii="Google Sans" w:eastAsia="Times New Roman" w:hAnsi="Google Sans" w:cs="Calibri"/>
          <w:color w:val="201F1E"/>
          <w:sz w:val="21"/>
          <w:szCs w:val="21"/>
          <w:lang w:val="es-MX"/>
        </w:rPr>
        <w:t> de Transac, concentrándose en el </w:t>
      </w:r>
      <w:r>
        <w:rPr>
          <w:rFonts w:ascii="Google Sans" w:eastAsia="Times New Roman" w:hAnsi="Google Sans" w:cs="Calibri"/>
          <w:i/>
          <w:iCs/>
          <w:color w:val="201F1E"/>
          <w:sz w:val="21"/>
          <w:szCs w:val="21"/>
          <w:lang w:val="es-MX"/>
        </w:rPr>
        <w:t>backup and restore</w:t>
      </w:r>
      <w:r>
        <w:rPr>
          <w:rFonts w:ascii="Google Sans" w:eastAsia="Times New Roman" w:hAnsi="Google Sans" w:cs="Calibri"/>
          <w:color w:val="201F1E"/>
          <w:sz w:val="21"/>
          <w:szCs w:val="21"/>
          <w:lang w:val="es-MX"/>
        </w:rPr>
        <w:t> de los componentes de configuración básicos para lograr el DRP en la nube.</w:t>
      </w:r>
    </w:p>
    <w:p w14:paraId="2A1FDC82" w14:textId="77777777" w:rsidR="00FB2B9A" w:rsidRDefault="00FB2B9A">
      <w:pPr>
        <w:numPr>
          <w:ilvl w:val="0"/>
          <w:numId w:val="8"/>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Configuración AWS:</w:t>
      </w:r>
      <w:r>
        <w:rPr>
          <w:rFonts w:ascii="Google Sans" w:eastAsia="Times New Roman" w:hAnsi="Google Sans" w:cs="Calibri"/>
          <w:color w:val="201F1E"/>
          <w:sz w:val="21"/>
          <w:szCs w:val="21"/>
          <w:lang w:val="es-MX"/>
        </w:rPr>
        <w:t> Miguel Bucio (Sala) confirmó que, a nivel de regiones, los componentes están instalados y configurados en dos regiones de AWS (Virginia y Oregón) y que la funcionalidad de Crédito Simple puede conmutarse entre ellas.</w:t>
      </w:r>
    </w:p>
    <w:p w14:paraId="235B3E12" w14:textId="77777777" w:rsidR="00FB2B9A" w:rsidRDefault="00FB2B9A">
      <w:pPr>
        <w:numPr>
          <w:ilvl w:val="0"/>
          <w:numId w:val="8"/>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Impedimentos de Replicación (Jose David Urias Montoya):</w:t>
      </w:r>
      <w:r>
        <w:rPr>
          <w:rFonts w:ascii="Google Sans" w:eastAsia="Times New Roman" w:hAnsi="Google Sans" w:cs="Calibri"/>
          <w:color w:val="201F1E"/>
          <w:sz w:val="21"/>
          <w:szCs w:val="21"/>
          <w:lang w:val="es-MX"/>
        </w:rPr>
        <w:t> Jose David reportó hallazgos de replicación incompleta que deben ser corregidos por el equipo:</w:t>
      </w:r>
    </w:p>
    <w:p w14:paraId="7E690004" w14:textId="77777777" w:rsidR="00FB2B9A" w:rsidRDefault="00FB2B9A">
      <w:pPr>
        <w:numPr>
          <w:ilvl w:val="1"/>
          <w:numId w:val="8"/>
        </w:numPr>
        <w:textAlignment w:val="center"/>
        <w:rPr>
          <w:rFonts w:ascii="Calibri" w:eastAsia="Times New Roman" w:hAnsi="Calibri" w:cs="Calibri"/>
          <w:color w:val="201F1E"/>
          <w:sz w:val="22"/>
          <w:szCs w:val="22"/>
          <w:lang w:val="es-MX"/>
        </w:rPr>
      </w:pPr>
      <w:r>
        <w:rPr>
          <w:rFonts w:ascii="Google Sans" w:eastAsia="Times New Roman" w:hAnsi="Google Sans" w:cs="Calibri"/>
          <w:color w:val="201F1E"/>
          <w:sz w:val="21"/>
          <w:szCs w:val="21"/>
          <w:lang w:val="es-MX"/>
        </w:rPr>
        <w:t>Falta la configuración de replicación para los </w:t>
      </w:r>
      <w:r>
        <w:rPr>
          <w:rFonts w:ascii="Google Sans" w:eastAsia="Times New Roman" w:hAnsi="Google Sans" w:cs="Calibri"/>
          <w:i/>
          <w:iCs/>
          <w:color w:val="201F1E"/>
          <w:sz w:val="21"/>
          <w:szCs w:val="21"/>
          <w:lang w:val="es-MX"/>
        </w:rPr>
        <w:t>file systems</w:t>
      </w:r>
      <w:r>
        <w:rPr>
          <w:rFonts w:ascii="Google Sans" w:eastAsia="Times New Roman" w:hAnsi="Google Sans" w:cs="Calibri"/>
          <w:color w:val="201F1E"/>
          <w:sz w:val="21"/>
          <w:szCs w:val="21"/>
          <w:lang w:val="es-MX"/>
        </w:rPr>
        <w:t> (fs) entre regiones.</w:t>
      </w:r>
    </w:p>
    <w:p w14:paraId="1D32A499" w14:textId="77777777" w:rsidR="00FB2B9A" w:rsidRDefault="00FB2B9A">
      <w:pPr>
        <w:numPr>
          <w:ilvl w:val="1"/>
          <w:numId w:val="8"/>
        </w:numPr>
        <w:textAlignment w:val="center"/>
        <w:rPr>
          <w:rFonts w:ascii="Calibri" w:eastAsia="Times New Roman" w:hAnsi="Calibri" w:cs="Calibri"/>
          <w:color w:val="201F1E"/>
          <w:sz w:val="22"/>
          <w:szCs w:val="22"/>
          <w:lang w:val="es-MX"/>
        </w:rPr>
      </w:pPr>
      <w:r>
        <w:rPr>
          <w:rFonts w:ascii="Google Sans" w:eastAsia="Times New Roman" w:hAnsi="Google Sans" w:cs="Calibri"/>
          <w:color w:val="201F1E"/>
          <w:sz w:val="21"/>
          <w:szCs w:val="21"/>
          <w:lang w:val="es-MX"/>
        </w:rPr>
        <w:t>No hay replicación configurada para los </w:t>
      </w:r>
      <w:r>
        <w:rPr>
          <w:rFonts w:ascii="Google Sans" w:eastAsia="Times New Roman" w:hAnsi="Google Sans" w:cs="Calibri"/>
          <w:i/>
          <w:iCs/>
          <w:color w:val="201F1E"/>
          <w:sz w:val="21"/>
          <w:szCs w:val="21"/>
          <w:lang w:val="es-MX"/>
        </w:rPr>
        <w:t>ccrs</w:t>
      </w:r>
      <w:r>
        <w:rPr>
          <w:rFonts w:ascii="Google Sans" w:eastAsia="Times New Roman" w:hAnsi="Google Sans" w:cs="Calibri"/>
          <w:color w:val="201F1E"/>
          <w:sz w:val="21"/>
          <w:szCs w:val="21"/>
          <w:lang w:val="es-MX"/>
        </w:rPr>
        <w:t> (contenedores K8s).</w:t>
      </w:r>
    </w:p>
    <w:p w14:paraId="3AE140E6" w14:textId="77777777" w:rsidR="00FB2B9A" w:rsidRDefault="00FB2B9A">
      <w:pPr>
        <w:numPr>
          <w:ilvl w:val="1"/>
          <w:numId w:val="8"/>
        </w:numPr>
        <w:textAlignment w:val="center"/>
        <w:rPr>
          <w:rFonts w:ascii="Calibri" w:eastAsia="Times New Roman" w:hAnsi="Calibri" w:cs="Calibri"/>
          <w:color w:val="201F1E"/>
          <w:sz w:val="22"/>
          <w:szCs w:val="22"/>
          <w:lang w:val="es-MX"/>
        </w:rPr>
      </w:pPr>
      <w:r>
        <w:rPr>
          <w:rFonts w:ascii="Google Sans" w:eastAsia="Times New Roman" w:hAnsi="Google Sans" w:cs="Calibri"/>
          <w:color w:val="201F1E"/>
          <w:sz w:val="21"/>
          <w:szCs w:val="21"/>
          <w:lang w:val="es-MX"/>
        </w:rPr>
        <w:t>La replicación de bases de datos Redis necesita más revisión en Oregón y ser arreglada en Virginia.</w:t>
      </w:r>
    </w:p>
    <w:p w14:paraId="6E837DAF" w14:textId="77777777" w:rsidR="00FB2B9A" w:rsidRDefault="00FB2B9A">
      <w:pPr>
        <w:numPr>
          <w:ilvl w:val="0"/>
          <w:numId w:val="8"/>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Asignación de Tareas Técnicas:</w:t>
      </w:r>
      <w:r>
        <w:rPr>
          <w:rFonts w:ascii="Google Sans" w:eastAsia="Times New Roman" w:hAnsi="Google Sans" w:cs="Calibri"/>
          <w:color w:val="201F1E"/>
          <w:sz w:val="21"/>
          <w:szCs w:val="21"/>
          <w:lang w:val="es-MX"/>
        </w:rPr>
        <w:t> Juan Manuel sugirió que el equipo de </w:t>
      </w:r>
      <w:r>
        <w:rPr>
          <w:rFonts w:ascii="Google Sans" w:eastAsia="Times New Roman" w:hAnsi="Google Sans" w:cs="Calibri"/>
          <w:b/>
          <w:bCs/>
          <w:color w:val="201F1E"/>
          <w:sz w:val="21"/>
          <w:szCs w:val="21"/>
          <w:lang w:val="es-MX"/>
        </w:rPr>
        <w:t>AWS</w:t>
      </w:r>
      <w:r>
        <w:rPr>
          <w:rFonts w:ascii="Google Sans" w:eastAsia="Times New Roman" w:hAnsi="Google Sans" w:cs="Calibri"/>
          <w:color w:val="201F1E"/>
          <w:sz w:val="21"/>
          <w:szCs w:val="21"/>
          <w:lang w:val="es-MX"/>
        </w:rPr>
        <w:t> debe ser encargado de solucionar estos problemas de replicación, ya que ellos proveen la durabilidad y resiliencia.</w:t>
      </w:r>
    </w:p>
    <w:p w14:paraId="4579A360"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667D7D01"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7731751D"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3F66CD00"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65D34F64"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769999B9"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7DAB4BB5"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lastRenderedPageBreak/>
        <w:t> </w:t>
      </w:r>
    </w:p>
    <w:p w14:paraId="2F84688C"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05AB9E33"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23E0CE1D"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0250023C"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52726727"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09EC1538"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40F6CBDA"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56F7411C"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6689C3FC"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4E307B34"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34F35FDE"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77B1A9A7"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75C65BFC"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55C3B72D"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50571117"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b/>
          <w:bCs/>
          <w:color w:val="201F1E"/>
          <w:sz w:val="21"/>
          <w:szCs w:val="21"/>
          <w:lang w:val="es-MX"/>
        </w:rPr>
        <w:t>IV. Visión Holística y Confusión de Roles</w:t>
      </w:r>
    </w:p>
    <w:p w14:paraId="37376DBB" w14:textId="77777777" w:rsidR="00FB2B9A" w:rsidRDefault="00FB2B9A">
      <w:pPr>
        <w:numPr>
          <w:ilvl w:val="0"/>
          <w:numId w:val="9"/>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Necesidad de Visión Integral:</w:t>
      </w:r>
      <w:r>
        <w:rPr>
          <w:rFonts w:ascii="Google Sans" w:eastAsia="Times New Roman" w:hAnsi="Google Sans" w:cs="Calibri"/>
          <w:color w:val="201F1E"/>
          <w:sz w:val="21"/>
          <w:szCs w:val="21"/>
          <w:lang w:val="es-MX"/>
        </w:rPr>
        <w:t> Alejandro Gallegos-Hernandez preguntó si existe una </w:t>
      </w:r>
      <w:r>
        <w:rPr>
          <w:rFonts w:ascii="Google Sans" w:eastAsia="Times New Roman" w:hAnsi="Google Sans" w:cs="Calibri"/>
          <w:b/>
          <w:bCs/>
          <w:color w:val="201F1E"/>
          <w:sz w:val="21"/>
          <w:szCs w:val="21"/>
          <w:lang w:val="es-MX"/>
        </w:rPr>
        <w:t>visión holística</w:t>
      </w:r>
      <w:r>
        <w:rPr>
          <w:rFonts w:ascii="Google Sans" w:eastAsia="Times New Roman" w:hAnsi="Google Sans" w:cs="Calibri"/>
          <w:color w:val="201F1E"/>
          <w:sz w:val="21"/>
          <w:szCs w:val="21"/>
          <w:lang w:val="es-MX"/>
        </w:rPr>
        <w:t xml:space="preserve"> o </w:t>
      </w:r>
      <w:r>
        <w:rPr>
          <w:rFonts w:ascii="Google Sans" w:eastAsia="Times New Roman" w:hAnsi="Google Sans" w:cs="Calibri"/>
          <w:color w:val="201F1E"/>
          <w:sz w:val="21"/>
          <w:szCs w:val="21"/>
          <w:lang w:val="es-MX"/>
        </w:rPr>
        <w:t>un modelo operativo (failover, failback) que asegure que la suma de los SLAs de las diferentes capas (AWS, plataformas) garantice el RTO/RPO deseado. Enfatizó que sumar SLAs individuales no garantiza el resultado final.</w:t>
      </w:r>
    </w:p>
    <w:p w14:paraId="6479789F" w14:textId="77777777" w:rsidR="00FB2B9A" w:rsidRDefault="00FB2B9A">
      <w:pPr>
        <w:numPr>
          <w:ilvl w:val="0"/>
          <w:numId w:val="9"/>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Problema de Gobernanza:</w:t>
      </w:r>
      <w:r>
        <w:rPr>
          <w:rFonts w:ascii="Google Sans" w:eastAsia="Times New Roman" w:hAnsi="Google Sans" w:cs="Calibri"/>
          <w:color w:val="201F1E"/>
          <w:sz w:val="21"/>
          <w:szCs w:val="21"/>
          <w:lang w:val="es-MX"/>
        </w:rPr>
        <w:t> Juan Manuel (Sala) concluyó que la sesión confirmó la carencia de un </w:t>
      </w:r>
      <w:r>
        <w:rPr>
          <w:rFonts w:ascii="Google Sans" w:eastAsia="Times New Roman" w:hAnsi="Google Sans" w:cs="Calibri"/>
          <w:b/>
          <w:bCs/>
          <w:color w:val="201F1E"/>
          <w:sz w:val="21"/>
          <w:szCs w:val="21"/>
          <w:lang w:val="es-MX"/>
        </w:rPr>
        <w:t>responsable único e integral de DRP de punta a punta</w:t>
      </w:r>
      <w:r>
        <w:rPr>
          <w:rFonts w:ascii="Google Sans" w:eastAsia="Times New Roman" w:hAnsi="Google Sans" w:cs="Calibri"/>
          <w:color w:val="201F1E"/>
          <w:sz w:val="21"/>
          <w:szCs w:val="21"/>
          <w:lang w:val="es-MX"/>
        </w:rPr>
        <w:t> en el banco. La responsabilidad está segmentada entre el legado (a cargo de Tavo) y lo nuevo (Transact).</w:t>
      </w:r>
    </w:p>
    <w:p w14:paraId="231555DD" w14:textId="77777777" w:rsidR="00FB2B9A" w:rsidRDefault="00FB2B9A">
      <w:pPr>
        <w:numPr>
          <w:ilvl w:val="0"/>
          <w:numId w:val="9"/>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Alineación de Documentación:</w:t>
      </w:r>
      <w:r>
        <w:rPr>
          <w:rFonts w:ascii="Google Sans" w:eastAsia="Times New Roman" w:hAnsi="Google Sans" w:cs="Calibri"/>
          <w:color w:val="201F1E"/>
          <w:sz w:val="21"/>
          <w:szCs w:val="21"/>
          <w:lang w:val="es-MX"/>
        </w:rPr>
        <w:t> Juan Manuel señaló que una diapositiva en discusión mezclaba dominios y aplicativos no comparables (ej. Operaciones y Transac). Sugirió reemplazar "Transact" con "DRP de Joyas de la Corona" en esa diapositiva para mantener la consistencia.</w:t>
      </w:r>
    </w:p>
    <w:p w14:paraId="048BBA8F" w14:textId="77777777" w:rsidR="00FB2B9A" w:rsidRDefault="00FB2B9A">
      <w:pPr>
        <w:numPr>
          <w:ilvl w:val="0"/>
          <w:numId w:val="9"/>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Búsqueda de Liderazgo Externo:</w:t>
      </w:r>
      <w:r>
        <w:rPr>
          <w:rFonts w:ascii="Google Sans" w:eastAsia="Times New Roman" w:hAnsi="Google Sans" w:cs="Calibri"/>
          <w:color w:val="201F1E"/>
          <w:sz w:val="21"/>
          <w:szCs w:val="21"/>
          <w:lang w:val="es-MX"/>
        </w:rPr>
        <w:t> Juan Manuel y Octavio sugirieron buscar apoyo externo (mencionando Accenture y EY) para que alguien tome la propiedad y liderazgo integral del DRP.</w:t>
      </w:r>
    </w:p>
    <w:p w14:paraId="7F80A70F"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0595E39D"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b/>
          <w:bCs/>
          <w:color w:val="201F1E"/>
          <w:sz w:val="21"/>
          <w:szCs w:val="21"/>
          <w:lang w:val="es-MX"/>
        </w:rPr>
        <w:t>V. Acuerdos y Próximos Pasos</w:t>
      </w:r>
    </w:p>
    <w:p w14:paraId="6249A692" w14:textId="77777777" w:rsidR="00FB2B9A" w:rsidRDefault="00FB2B9A">
      <w:pPr>
        <w:numPr>
          <w:ilvl w:val="0"/>
          <w:numId w:val="10"/>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Focalización Inmediata:</w:t>
      </w:r>
      <w:r>
        <w:rPr>
          <w:rFonts w:ascii="Google Sans" w:eastAsia="Times New Roman" w:hAnsi="Google Sans" w:cs="Calibri"/>
          <w:color w:val="201F1E"/>
          <w:sz w:val="21"/>
          <w:szCs w:val="21"/>
          <w:lang w:val="es-MX"/>
        </w:rPr>
        <w:t> El equipo debe enfocarse en la </w:t>
      </w:r>
      <w:r>
        <w:rPr>
          <w:rFonts w:ascii="Google Sans" w:eastAsia="Times New Roman" w:hAnsi="Google Sans" w:cs="Calibri"/>
          <w:b/>
          <w:bCs/>
          <w:color w:val="201F1E"/>
          <w:sz w:val="21"/>
          <w:szCs w:val="21"/>
          <w:lang w:val="es-MX"/>
        </w:rPr>
        <w:t>resiliencia a nivel de capa aplicativa de Transac</w:t>
      </w:r>
      <w:r>
        <w:rPr>
          <w:rFonts w:ascii="Google Sans" w:eastAsia="Times New Roman" w:hAnsi="Google Sans" w:cs="Calibri"/>
          <w:color w:val="201F1E"/>
          <w:sz w:val="21"/>
          <w:szCs w:val="21"/>
          <w:lang w:val="es-MX"/>
        </w:rPr>
        <w:t>.</w:t>
      </w:r>
    </w:p>
    <w:p w14:paraId="3E881325" w14:textId="77777777" w:rsidR="00FB2B9A" w:rsidRDefault="00FB2B9A">
      <w:pPr>
        <w:numPr>
          <w:ilvl w:val="0"/>
          <w:numId w:val="10"/>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Replicación y Pruebas:</w:t>
      </w:r>
      <w:r>
        <w:rPr>
          <w:rFonts w:ascii="Google Sans" w:eastAsia="Times New Roman" w:hAnsi="Google Sans" w:cs="Calibri"/>
          <w:color w:val="201F1E"/>
          <w:sz w:val="21"/>
          <w:szCs w:val="21"/>
          <w:lang w:val="es-MX"/>
        </w:rPr>
        <w:t> Se acordó priorizar la replicación entre los sitios (Virginia y Oregón) y realizar un correcto entrenamiento y pruebas de conmutación de componente por componente.</w:t>
      </w:r>
    </w:p>
    <w:p w14:paraId="05533FB2" w14:textId="77777777" w:rsidR="00FB2B9A" w:rsidRDefault="00FB2B9A">
      <w:pPr>
        <w:numPr>
          <w:ilvl w:val="0"/>
          <w:numId w:val="10"/>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Coordinación de Esfuerzos:</w:t>
      </w:r>
      <w:r>
        <w:rPr>
          <w:rFonts w:ascii="Google Sans" w:eastAsia="Times New Roman" w:hAnsi="Google Sans" w:cs="Calibri"/>
          <w:color w:val="201F1E"/>
          <w:sz w:val="21"/>
          <w:szCs w:val="21"/>
          <w:lang w:val="es-MX"/>
        </w:rPr>
        <w:t> Es necesario coordinar la iniciativa de DRP de Transac con el proyecto de DRP de las Joyas de la Corona que está a cargo de Octavio y su equipo, asegurando líneas de acción claras y separadas para evitar traslapes y confusiones.</w:t>
      </w:r>
    </w:p>
    <w:p w14:paraId="65BF4D8E" w14:textId="77777777" w:rsidR="00FB2B9A" w:rsidRDefault="00FB2B9A">
      <w:pPr>
        <w:numPr>
          <w:ilvl w:val="0"/>
          <w:numId w:val="10"/>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Oficina de DRP:</w:t>
      </w:r>
      <w:r>
        <w:rPr>
          <w:rFonts w:ascii="Google Sans" w:eastAsia="Times New Roman" w:hAnsi="Google Sans" w:cs="Calibri"/>
          <w:color w:val="201F1E"/>
          <w:sz w:val="21"/>
          <w:szCs w:val="21"/>
          <w:lang w:val="es-MX"/>
        </w:rPr>
        <w:t> Juan Manuel y Octavio acordaron contactar a la oficina de riesgos y al Gerente Nacional de DRPs para obtener contexto y materiales que puedan estar ya avanzados.</w:t>
      </w:r>
    </w:p>
    <w:p w14:paraId="770F1BC5" w14:textId="77777777" w:rsidR="00FB2B9A" w:rsidRDefault="00FB2B9A">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14:anchorId="6398C422" wp14:editId="5ACA9F6B">
            <wp:extent cx="2952750" cy="3079750"/>
            <wp:effectExtent l="0" t="0" r="0" b="6350"/>
            <wp:docPr id="1" name="Picture 1" descr="Apigee &#10;Mulesoft ANUS &#10;EKS &#10;1 &#10;Virginia &#10;Oregon &#10;Temenos &#10;Jemenos &#10;EKS &#10;- Fler Transacto &#10;· Transad &#10;Interans &#10;- EMS &#10;Interfaces &#10;TDH &#10;-TDH &#10;DRP &#10;EKS &#10;Prometo &#10;Informtil &#10;informally &#10;Pronto &#10;M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igee &#10;Mulesoft ANUS &#10;EKS &#10;1 &#10;Virginia &#10;Oregon &#10;Temenos &#10;Jemenos &#10;EKS &#10;- Fler Transacto &#10;· Transad &#10;Interans &#10;- EMS &#10;Interfaces &#10;TDH &#10;-TDH &#10;DRP &#10;EKS &#10;Prometo &#10;Informtil &#10;informally &#10;Pronto &#10;MTY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52750" cy="3079750"/>
                    </a:xfrm>
                    <a:prstGeom prst="rect">
                      <a:avLst/>
                    </a:prstGeom>
                    <a:noFill/>
                    <a:ln>
                      <a:noFill/>
                    </a:ln>
                  </pic:spPr>
                </pic:pic>
              </a:graphicData>
            </a:graphic>
          </wp:inline>
        </w:drawing>
      </w:r>
    </w:p>
    <w:p w14:paraId="19A956F2" w14:textId="77777777" w:rsidR="00FB2B9A" w:rsidRDefault="00FB2B9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79377E" w14:textId="77777777" w:rsidR="00FB2B9A" w:rsidRDefault="00FB2B9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528B62" w14:textId="77777777" w:rsidR="00FB2B9A" w:rsidRDefault="00FB2B9A">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6.Abr.2026 - Cobranza</w:t>
      </w:r>
    </w:p>
    <w:p w14:paraId="1AB9E155" w14:textId="77777777" w:rsidR="00FB2B9A" w:rsidRDefault="00FB2B9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April 6, 2026</w:t>
      </w:r>
    </w:p>
    <w:p w14:paraId="68062C3B" w14:textId="77777777" w:rsidR="00FB2B9A" w:rsidRDefault="00FB2B9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4:13 PM</w:t>
      </w:r>
    </w:p>
    <w:p w14:paraId="4FDBAFAB" w14:textId="77777777" w:rsidR="00FB2B9A" w:rsidRDefault="00FB2B9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EF23F7" w14:textId="77777777" w:rsidR="00FB2B9A" w:rsidRDefault="00FB2B9A">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y hora:</w:t>
      </w:r>
    </w:p>
    <w:p w14:paraId="26438356" w14:textId="77777777" w:rsidR="00FB2B9A" w:rsidRDefault="00FB2B9A">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6 de Abril de 2026 de 16:00 a 16:30</w:t>
      </w:r>
    </w:p>
    <w:p w14:paraId="07125476" w14:textId="77777777" w:rsidR="00FB2B9A" w:rsidRDefault="00FB2B9A">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53EDAA7" w14:textId="77777777" w:rsidR="00FB2B9A" w:rsidRDefault="00FB2B9A">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BCP:</w:t>
      </w:r>
    </w:p>
    <w:p w14:paraId="375723D1" w14:textId="77777777" w:rsidR="00FB2B9A" w:rsidRDefault="00FB2B9A">
      <w:pPr>
        <w:numPr>
          <w:ilvl w:val="0"/>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Rodolfo Vazquez</w:t>
      </w:r>
    </w:p>
    <w:p w14:paraId="2505D907" w14:textId="77777777" w:rsidR="00FB2B9A" w:rsidRDefault="00FB2B9A">
      <w:pPr>
        <w:numPr>
          <w:ilvl w:val="0"/>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Juan Pablo Chaves</w:t>
      </w:r>
    </w:p>
    <w:p w14:paraId="6C639BAF" w14:textId="77777777" w:rsidR="00FB2B9A" w:rsidRDefault="00FB2B9A">
      <w:pPr>
        <w:numPr>
          <w:ilvl w:val="0"/>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David Estrada Castillo</w:t>
      </w:r>
    </w:p>
    <w:p w14:paraId="445886FA" w14:textId="77777777" w:rsidR="00FB2B9A" w:rsidRDefault="00FB2B9A">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33F0F26" w14:textId="77777777" w:rsidR="00FB2B9A" w:rsidRDefault="00FB2B9A">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BCP:</w:t>
      </w:r>
    </w:p>
    <w:p w14:paraId="7534CE9D" w14:textId="77777777" w:rsidR="00FB2B9A" w:rsidRDefault="00FB2B9A">
      <w:pPr>
        <w:numPr>
          <w:ilvl w:val="0"/>
          <w:numId w:val="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Jose David Urias Montoya</w:t>
      </w:r>
    </w:p>
    <w:p w14:paraId="05E74484" w14:textId="77777777" w:rsidR="00FB2B9A" w:rsidRDefault="00FB2B9A">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43C2996"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color w:val="201F1E"/>
          <w:sz w:val="21"/>
          <w:szCs w:val="21"/>
          <w:lang w:val="es-MX"/>
        </w:rPr>
        <w:t>La siguiente es una minuta detallada de la sesión, estructurada por tópicos y con el detalle de los stakeholders mencionados.</w:t>
      </w:r>
    </w:p>
    <w:p w14:paraId="63142AB8"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17B7BCC6"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color w:val="201F1E"/>
          <w:sz w:val="21"/>
          <w:szCs w:val="21"/>
          <w:lang w:val="es-MX"/>
        </w:rPr>
        <w:t>Minuta Estructurada por TópicosIntroducción y Alcance del Proyecto Unity</w:t>
      </w:r>
    </w:p>
    <w:p w14:paraId="7ED1A8EE"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4C4AAAB8"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b/>
          <w:bCs/>
          <w:color w:val="201F1E"/>
          <w:sz w:val="21"/>
          <w:szCs w:val="21"/>
          <w:lang w:val="es-MX"/>
        </w:rPr>
        <w:t>Integración de Cobranza con Unity y Sistemas Core</w:t>
      </w:r>
    </w:p>
    <w:p w14:paraId="67844336"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color w:val="201F1E"/>
          <w:sz w:val="21"/>
          <w:szCs w:val="21"/>
          <w:lang w:val="es-MX"/>
        </w:rPr>
        <w:t>Aunque Cobranza y Cartera no forman parte directa del programa Unity, sus definiciones están entrelazadas con los pilares del programa y es considerado un módulo estratégico y crítico.</w:t>
      </w:r>
    </w:p>
    <w:p w14:paraId="58135DCF" w14:textId="77777777" w:rsidR="00FB2B9A" w:rsidRDefault="00FB2B9A">
      <w:pPr>
        <w:numPr>
          <w:ilvl w:val="0"/>
          <w:numId w:val="14"/>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Objetivo de Cobranza:</w:t>
      </w:r>
      <w:r>
        <w:rPr>
          <w:rFonts w:ascii="Google Sans" w:eastAsia="Times New Roman" w:hAnsi="Google Sans" w:cs="Calibri"/>
          <w:color w:val="201F1E"/>
          <w:sz w:val="21"/>
          <w:szCs w:val="21"/>
          <w:lang w:val="es-MX"/>
        </w:rPr>
        <w:t> El principal objetivo es asegurar que, con el cambio a las nuevas plataformas tecnológicas de Unity, se pueda seguir realizando la gestión de cobranza de la cartera en los nuevos sistemas </w:t>
      </w:r>
      <w:r>
        <w:rPr>
          <w:rFonts w:ascii="Google Sans" w:eastAsia="Times New Roman" w:hAnsi="Google Sans" w:cs="Calibri"/>
          <w:i/>
          <w:iCs/>
          <w:color w:val="201F1E"/>
          <w:sz w:val="21"/>
          <w:szCs w:val="21"/>
          <w:lang w:val="es-MX"/>
        </w:rPr>
        <w:t>core</w:t>
      </w:r>
      <w:r>
        <w:rPr>
          <w:rFonts w:ascii="Google Sans" w:eastAsia="Times New Roman" w:hAnsi="Google Sans" w:cs="Calibri"/>
          <w:color w:val="201F1E"/>
          <w:sz w:val="21"/>
          <w:szCs w:val="21"/>
          <w:lang w:val="es-MX"/>
        </w:rPr>
        <w:t> (Smart Vista y Transact). El producto de tarjeta de crédito en Smart Vista debe estar configurado para lograr una cobranza post-producción sin afectar lo ya existente.</w:t>
      </w:r>
    </w:p>
    <w:p w14:paraId="7A02BD51" w14:textId="77777777" w:rsidR="00FB2B9A" w:rsidRDefault="00FB2B9A">
      <w:pPr>
        <w:numPr>
          <w:ilvl w:val="0"/>
          <w:numId w:val="14"/>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Sistemas Core Impactados:</w:t>
      </w:r>
    </w:p>
    <w:p w14:paraId="5625B493" w14:textId="77777777" w:rsidR="00FB2B9A" w:rsidRDefault="00FB2B9A">
      <w:pPr>
        <w:numPr>
          <w:ilvl w:val="1"/>
          <w:numId w:val="14"/>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Smart Vista:</w:t>
      </w:r>
      <w:r>
        <w:rPr>
          <w:rFonts w:ascii="Google Sans" w:eastAsia="Times New Roman" w:hAnsi="Google Sans" w:cs="Calibri"/>
          <w:color w:val="201F1E"/>
          <w:sz w:val="21"/>
          <w:szCs w:val="21"/>
          <w:lang w:val="es-MX"/>
        </w:rPr>
        <w:t> Principalmente para la gestión de cobranza de la tarjeta de crédito. El soporte adicional para Smart Vista es BPC.</w:t>
      </w:r>
    </w:p>
    <w:p w14:paraId="7F8D57D2" w14:textId="77777777" w:rsidR="00FB2B9A" w:rsidRDefault="00FB2B9A">
      <w:pPr>
        <w:numPr>
          <w:ilvl w:val="1"/>
          <w:numId w:val="14"/>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Transact:</w:t>
      </w:r>
      <w:r>
        <w:rPr>
          <w:rFonts w:ascii="Google Sans" w:eastAsia="Times New Roman" w:hAnsi="Google Sans" w:cs="Calibri"/>
          <w:color w:val="201F1E"/>
          <w:sz w:val="21"/>
          <w:szCs w:val="21"/>
          <w:lang w:val="es-MX"/>
        </w:rPr>
        <w:t> Principalmente para la gestión de cobranza de préstamos personales.</w:t>
      </w:r>
    </w:p>
    <w:p w14:paraId="6C6F0D1F" w14:textId="77777777" w:rsidR="00FB2B9A" w:rsidRDefault="00FB2B9A">
      <w:pPr>
        <w:numPr>
          <w:ilvl w:val="1"/>
          <w:numId w:val="14"/>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Apolo:</w:t>
      </w:r>
      <w:r>
        <w:rPr>
          <w:rFonts w:ascii="Google Sans" w:eastAsia="Times New Roman" w:hAnsi="Google Sans" w:cs="Calibri"/>
          <w:color w:val="201F1E"/>
          <w:sz w:val="21"/>
          <w:szCs w:val="21"/>
          <w:lang w:val="es-MX"/>
        </w:rPr>
        <w:t> Relacionado con el tema de Contactabilidad y la información del cliente.</w:t>
      </w:r>
    </w:p>
    <w:p w14:paraId="7B574596" w14:textId="77777777" w:rsidR="00FB2B9A" w:rsidRDefault="00FB2B9A">
      <w:pPr>
        <w:numPr>
          <w:ilvl w:val="0"/>
          <w:numId w:val="14"/>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Alcance de la Gestión de Cobranza:</w:t>
      </w:r>
      <w:r>
        <w:rPr>
          <w:rFonts w:ascii="Google Sans" w:eastAsia="Times New Roman" w:hAnsi="Google Sans" w:cs="Calibri"/>
          <w:color w:val="201F1E"/>
          <w:sz w:val="21"/>
          <w:szCs w:val="21"/>
          <w:lang w:val="es-MX"/>
        </w:rPr>
        <w:t> Abarca tanto la cartera vencida como la cartera que se considera sana (cobranza preventiva y correctiva).</w:t>
      </w:r>
    </w:p>
    <w:p w14:paraId="5E1577E9" w14:textId="77777777" w:rsidR="00FB2B9A" w:rsidRDefault="00FB2B9A">
      <w:pPr>
        <w:numPr>
          <w:ilvl w:val="0"/>
          <w:numId w:val="15"/>
        </w:numPr>
        <w:textAlignment w:val="center"/>
        <w:rPr>
          <w:rFonts w:ascii="Calibri" w:eastAsia="Times New Roman" w:hAnsi="Calibri" w:cs="Calibri"/>
          <w:color w:val="201F1E"/>
          <w:sz w:val="22"/>
          <w:szCs w:val="22"/>
          <w:lang w:val="es-MX"/>
        </w:rPr>
      </w:pPr>
      <w:r>
        <w:rPr>
          <w:rFonts w:ascii="Calibri" w:eastAsia="Times New Roman" w:hAnsi="Calibri" w:cs="Calibri"/>
          <w:b/>
          <w:bCs/>
          <w:color w:val="201F1E"/>
          <w:sz w:val="21"/>
          <w:szCs w:val="21"/>
          <w:lang w:val="es-MX"/>
        </w:rPr>
        <w:t>Canales:</w:t>
      </w:r>
    </w:p>
    <w:p w14:paraId="78A61F8D" w14:textId="77777777" w:rsidR="00FB2B9A" w:rsidRDefault="00FB2B9A">
      <w:pPr>
        <w:numPr>
          <w:ilvl w:val="1"/>
          <w:numId w:val="15"/>
        </w:numPr>
        <w:textAlignment w:val="center"/>
        <w:rPr>
          <w:rFonts w:ascii="Calibri" w:eastAsia="Times New Roman" w:hAnsi="Calibri" w:cs="Calibri"/>
          <w:sz w:val="22"/>
          <w:szCs w:val="22"/>
          <w:lang w:val="es-MX"/>
        </w:rPr>
      </w:pPr>
      <w:r>
        <w:rPr>
          <w:rFonts w:ascii="Calibri" w:eastAsia="Times New Roman" w:hAnsi="Calibri" w:cs="Calibri"/>
          <w:color w:val="201F1E"/>
          <w:sz w:val="21"/>
          <w:szCs w:val="21"/>
          <w:lang w:val="es-MX"/>
        </w:rPr>
        <w:t>Fisicos: Call centers (internos y externos) y cobranza domiciliaria</w:t>
      </w:r>
    </w:p>
    <w:p w14:paraId="1815525F" w14:textId="77777777" w:rsidR="00FB2B9A" w:rsidRDefault="00FB2B9A">
      <w:pPr>
        <w:numPr>
          <w:ilvl w:val="1"/>
          <w:numId w:val="15"/>
        </w:numPr>
        <w:textAlignment w:val="center"/>
        <w:rPr>
          <w:rFonts w:ascii="Calibri" w:eastAsia="Times New Roman" w:hAnsi="Calibri" w:cs="Calibri"/>
          <w:sz w:val="22"/>
          <w:szCs w:val="22"/>
          <w:lang w:val="es-MX"/>
        </w:rPr>
      </w:pPr>
      <w:r>
        <w:rPr>
          <w:rFonts w:ascii="Calibri" w:eastAsia="Times New Roman" w:hAnsi="Calibri" w:cs="Calibri"/>
          <w:color w:val="201F1E"/>
          <w:sz w:val="21"/>
          <w:szCs w:val="21"/>
          <w:lang w:val="es-MX"/>
        </w:rPr>
        <w:t>Digitales: SMS, email, app</w:t>
      </w:r>
    </w:p>
    <w:p w14:paraId="0505BA97" w14:textId="77777777" w:rsidR="00FB2B9A" w:rsidRDefault="00FB2B9A">
      <w:pPr>
        <w:pStyle w:val="NormalWeb"/>
        <w:spacing w:before="0" w:beforeAutospacing="0" w:after="0" w:afterAutospacing="0"/>
        <w:ind w:left="540"/>
        <w:rPr>
          <w:rFonts w:ascii="Calibri" w:hAnsi="Calibri" w:cs="Calibri"/>
          <w:color w:val="201F1E"/>
          <w:sz w:val="21"/>
          <w:szCs w:val="21"/>
          <w:lang w:val="es-MX"/>
        </w:rPr>
      </w:pPr>
      <w:r>
        <w:rPr>
          <w:rFonts w:ascii="Calibri" w:hAnsi="Calibri" w:cs="Calibri"/>
          <w:color w:val="201F1E"/>
          <w:sz w:val="21"/>
          <w:szCs w:val="21"/>
          <w:lang w:val="es-MX"/>
        </w:rPr>
        <w:t> </w:t>
      </w:r>
    </w:p>
    <w:p w14:paraId="47D3EF8C"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b/>
          <w:bCs/>
          <w:color w:val="201F1E"/>
          <w:sz w:val="21"/>
          <w:szCs w:val="21"/>
          <w:lang w:val="es-MX"/>
        </w:rPr>
        <w:t>Detalle de los Procesos de Cobranza</w:t>
      </w:r>
    </w:p>
    <w:p w14:paraId="2899ACA5"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color w:val="201F1E"/>
          <w:sz w:val="21"/>
          <w:szCs w:val="21"/>
          <w:lang w:val="es-MX"/>
        </w:rPr>
        <w:t>La expectativa del área de Cobranza es </w:t>
      </w:r>
      <w:r>
        <w:rPr>
          <w:rFonts w:ascii="Google Sans" w:hAnsi="Google Sans" w:cs="Calibri"/>
          <w:b/>
          <w:bCs/>
          <w:color w:val="201F1E"/>
          <w:sz w:val="21"/>
          <w:szCs w:val="21"/>
          <w:lang w:val="es-MX"/>
        </w:rPr>
        <w:t>mantener el proceso como existe actualmente</w:t>
      </w:r>
      <w:r>
        <w:rPr>
          <w:rFonts w:ascii="Google Sans" w:hAnsi="Google Sans" w:cs="Calibri"/>
          <w:color w:val="201F1E"/>
          <w:sz w:val="21"/>
          <w:szCs w:val="21"/>
          <w:lang w:val="es-MX"/>
        </w:rPr>
        <w:t> en los diferentes canales, sin un rediseño del proceso. Las ramas del área de negocio y estrategias de Cobranza incluyen:</w:t>
      </w:r>
    </w:p>
    <w:p w14:paraId="2A81072A" w14:textId="77777777" w:rsidR="00FB2B9A" w:rsidRDefault="00FB2B9A">
      <w:pPr>
        <w:numPr>
          <w:ilvl w:val="0"/>
          <w:numId w:val="16"/>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Contactabilidad:</w:t>
      </w:r>
      <w:r>
        <w:rPr>
          <w:rFonts w:ascii="Google Sans" w:eastAsia="Times New Roman" w:hAnsi="Google Sans" w:cs="Calibri"/>
          <w:color w:val="201F1E"/>
          <w:sz w:val="21"/>
          <w:szCs w:val="21"/>
          <w:lang w:val="es-MX"/>
        </w:rPr>
        <w:t> Almacenamiento y manejo de la información de los clientes para proveerla a los canales de gestión.</w:t>
      </w:r>
    </w:p>
    <w:p w14:paraId="32FCAC34" w14:textId="77777777" w:rsidR="00FB2B9A" w:rsidRDefault="00FB2B9A">
      <w:pPr>
        <w:numPr>
          <w:ilvl w:val="0"/>
          <w:numId w:val="16"/>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Planes de Segunda Oportunidad:</w:t>
      </w:r>
      <w:r>
        <w:rPr>
          <w:rFonts w:ascii="Google Sans" w:eastAsia="Times New Roman" w:hAnsi="Google Sans" w:cs="Calibri"/>
          <w:color w:val="201F1E"/>
          <w:sz w:val="21"/>
          <w:szCs w:val="21"/>
          <w:lang w:val="es-MX"/>
        </w:rPr>
        <w:t> Diseño y ejecución de planes de recuperación (reestructuras, pagos con quitas) que los sistemas </w:t>
      </w:r>
      <w:r>
        <w:rPr>
          <w:rFonts w:ascii="Google Sans" w:eastAsia="Times New Roman" w:hAnsi="Google Sans" w:cs="Calibri"/>
          <w:i/>
          <w:iCs/>
          <w:color w:val="201F1E"/>
          <w:sz w:val="21"/>
          <w:szCs w:val="21"/>
          <w:lang w:val="es-MX"/>
        </w:rPr>
        <w:t>core</w:t>
      </w:r>
      <w:r>
        <w:rPr>
          <w:rFonts w:ascii="Google Sans" w:eastAsia="Times New Roman" w:hAnsi="Google Sans" w:cs="Calibri"/>
          <w:color w:val="201F1E"/>
          <w:sz w:val="21"/>
          <w:szCs w:val="21"/>
          <w:lang w:val="es-MX"/>
        </w:rPr>
        <w:t> deben poder soportar.</w:t>
      </w:r>
    </w:p>
    <w:p w14:paraId="2267077B" w14:textId="77777777" w:rsidR="00FB2B9A" w:rsidRDefault="00FB2B9A">
      <w:pPr>
        <w:numPr>
          <w:ilvl w:val="0"/>
          <w:numId w:val="16"/>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Digitalización y Pagos:</w:t>
      </w:r>
      <w:r>
        <w:rPr>
          <w:rFonts w:ascii="Google Sans" w:eastAsia="Times New Roman" w:hAnsi="Google Sans" w:cs="Calibri"/>
          <w:color w:val="201F1E"/>
          <w:sz w:val="21"/>
          <w:szCs w:val="21"/>
          <w:lang w:val="es-MX"/>
        </w:rPr>
        <w:t> Gestión de pagos digitales, domiciliaciones, y pagos a través de canales físicos como cajas y corresponsalías (Oxxos).</w:t>
      </w:r>
    </w:p>
    <w:p w14:paraId="6596C330" w14:textId="77777777" w:rsidR="00FB2B9A" w:rsidRDefault="00FB2B9A">
      <w:pPr>
        <w:numPr>
          <w:ilvl w:val="0"/>
          <w:numId w:val="16"/>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Canales de Gestión:</w:t>
      </w:r>
      <w:r>
        <w:rPr>
          <w:rFonts w:ascii="Google Sans" w:eastAsia="Times New Roman" w:hAnsi="Google Sans" w:cs="Calibri"/>
          <w:color w:val="201F1E"/>
          <w:sz w:val="21"/>
          <w:szCs w:val="21"/>
          <w:lang w:val="es-MX"/>
        </w:rPr>
        <w:t> Provisión de información y sistemas a los canales más grandes, como el Call Center (CAT, interno y externo) y la Cobranza Domiciliaria.</w:t>
      </w:r>
    </w:p>
    <w:p w14:paraId="63CAE98B" w14:textId="77777777" w:rsidR="00FB2B9A" w:rsidRDefault="00FB2B9A">
      <w:pPr>
        <w:numPr>
          <w:ilvl w:val="0"/>
          <w:numId w:val="16"/>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Cobranza Direccionada:</w:t>
      </w:r>
      <w:r>
        <w:rPr>
          <w:rFonts w:ascii="Google Sans" w:eastAsia="Times New Roman" w:hAnsi="Google Sans" w:cs="Calibri"/>
          <w:color w:val="201F1E"/>
          <w:sz w:val="21"/>
          <w:szCs w:val="21"/>
          <w:lang w:val="es-MX"/>
        </w:rPr>
        <w:t> Definición de estrategias sobre a quién, por qué medio y a qué hora se debe cobrar.</w:t>
      </w:r>
    </w:p>
    <w:p w14:paraId="7A6E62EB"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color w:val="201F1E"/>
          <w:sz w:val="21"/>
          <w:szCs w:val="21"/>
          <w:lang w:val="es-MX"/>
        </w:rPr>
        <w:t>Los canales de gestión utilizados por Cobranza incluyen canales físicos (call centers, domiciliaria) y digitales (SMS, email, aplicación Coppel/Bancoppel, Arsis, WhatsApp).</w:t>
      </w:r>
      <w:r>
        <w:rPr>
          <w:rFonts w:ascii="Google Sans" w:hAnsi="Google Sans" w:cs="Calibri"/>
          <w:b/>
          <w:bCs/>
          <w:color w:val="201F1E"/>
          <w:sz w:val="21"/>
          <w:szCs w:val="21"/>
          <w:lang w:val="es-MX"/>
        </w:rPr>
        <w:t xml:space="preserve">Flujo de </w:t>
      </w:r>
      <w:r>
        <w:rPr>
          <w:rFonts w:ascii="Google Sans" w:hAnsi="Google Sans" w:cs="Calibri"/>
          <w:b/>
          <w:bCs/>
          <w:color w:val="201F1E"/>
          <w:sz w:val="21"/>
          <w:szCs w:val="21"/>
          <w:lang w:val="es-MX"/>
        </w:rPr>
        <w:t>Datos y Arquitectura Tecnológica</w:t>
      </w:r>
    </w:p>
    <w:p w14:paraId="77D5C103"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color w:val="201F1E"/>
          <w:sz w:val="21"/>
          <w:szCs w:val="21"/>
          <w:lang w:val="es-MX"/>
        </w:rPr>
        <w:t>El equipo de Cobranza detalló que, debido a la naturaleza transaccional de Smart Vista, </w:t>
      </w:r>
      <w:r>
        <w:rPr>
          <w:rFonts w:ascii="Google Sans" w:hAnsi="Google Sans" w:cs="Calibri"/>
          <w:b/>
          <w:bCs/>
          <w:color w:val="201F1E"/>
          <w:sz w:val="21"/>
          <w:szCs w:val="21"/>
          <w:lang w:val="es-MX"/>
        </w:rPr>
        <w:t>ciertos procesos no vivirán en el nuevo Core</w:t>
      </w:r>
      <w:r>
        <w:rPr>
          <w:rFonts w:ascii="Google Sans" w:hAnsi="Google Sans" w:cs="Calibri"/>
          <w:color w:val="201F1E"/>
          <w:sz w:val="21"/>
          <w:szCs w:val="21"/>
          <w:lang w:val="es-MX"/>
        </w:rPr>
        <w:t>.</w:t>
      </w:r>
    </w:p>
    <w:p w14:paraId="5E5A82CE" w14:textId="77777777" w:rsidR="00FB2B9A" w:rsidRDefault="00FB2B9A">
      <w:pPr>
        <w:numPr>
          <w:ilvl w:val="0"/>
          <w:numId w:val="17"/>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Extracción:</w:t>
      </w:r>
      <w:r>
        <w:rPr>
          <w:rFonts w:ascii="Google Sans" w:eastAsia="Times New Roman" w:hAnsi="Google Sans" w:cs="Calibri"/>
          <w:color w:val="201F1E"/>
          <w:sz w:val="21"/>
          <w:szCs w:val="21"/>
          <w:lang w:val="es-MX"/>
        </w:rPr>
        <w:t> La data transaccional y sociodemográfica de los clientes generada en Smart Vista se extraerá al Data Warehouse del Banco.</w:t>
      </w:r>
    </w:p>
    <w:p w14:paraId="5158F645" w14:textId="77777777" w:rsidR="00FB2B9A" w:rsidRDefault="00FB2B9A">
      <w:pPr>
        <w:numPr>
          <w:ilvl w:val="0"/>
          <w:numId w:val="17"/>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Procesamiento:</w:t>
      </w:r>
      <w:r>
        <w:rPr>
          <w:rFonts w:ascii="Google Sans" w:eastAsia="Times New Roman" w:hAnsi="Google Sans" w:cs="Calibri"/>
          <w:color w:val="201F1E"/>
          <w:sz w:val="21"/>
          <w:szCs w:val="21"/>
          <w:lang w:val="es-MX"/>
        </w:rPr>
        <w:t> Desde el Data Warehouse, la información se llevará a otros ambientes (desarrollo, pruebas, productivo) para correr </w:t>
      </w:r>
      <w:r>
        <w:rPr>
          <w:rFonts w:ascii="Google Sans" w:eastAsia="Times New Roman" w:hAnsi="Google Sans" w:cs="Calibri"/>
          <w:i/>
          <w:iCs/>
          <w:color w:val="201F1E"/>
          <w:sz w:val="21"/>
          <w:szCs w:val="21"/>
          <w:lang w:val="es-MX"/>
        </w:rPr>
        <w:t>scripts</w:t>
      </w:r>
      <w:r>
        <w:rPr>
          <w:rFonts w:ascii="Google Sans" w:eastAsia="Times New Roman" w:hAnsi="Google Sans" w:cs="Calibri"/>
          <w:color w:val="201F1E"/>
          <w:sz w:val="21"/>
          <w:szCs w:val="21"/>
          <w:lang w:val="es-MX"/>
        </w:rPr>
        <w:t> y procesos.</w:t>
      </w:r>
    </w:p>
    <w:p w14:paraId="5CECA24F" w14:textId="77777777" w:rsidR="00FB2B9A" w:rsidRDefault="00FB2B9A">
      <w:pPr>
        <w:numPr>
          <w:ilvl w:val="0"/>
          <w:numId w:val="17"/>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Decisión:</w:t>
      </w:r>
      <w:r>
        <w:rPr>
          <w:rFonts w:ascii="Google Sans" w:eastAsia="Times New Roman" w:hAnsi="Google Sans" w:cs="Calibri"/>
          <w:color w:val="201F1E"/>
          <w:sz w:val="21"/>
          <w:szCs w:val="21"/>
          <w:lang w:val="es-MX"/>
        </w:rPr>
        <w:t> Estos procesos externos son los que ayudan a calcular el </w:t>
      </w:r>
      <w:r>
        <w:rPr>
          <w:rFonts w:ascii="Google Sans" w:eastAsia="Times New Roman" w:hAnsi="Google Sans" w:cs="Calibri"/>
          <w:i/>
          <w:iCs/>
          <w:color w:val="201F1E"/>
          <w:sz w:val="21"/>
          <w:szCs w:val="21"/>
          <w:lang w:val="es-MX"/>
        </w:rPr>
        <w:t>score</w:t>
      </w:r>
      <w:r>
        <w:rPr>
          <w:rFonts w:ascii="Google Sans" w:eastAsia="Times New Roman" w:hAnsi="Google Sans" w:cs="Calibri"/>
          <w:color w:val="201F1E"/>
          <w:sz w:val="21"/>
          <w:szCs w:val="21"/>
          <w:lang w:val="es-MX"/>
        </w:rPr>
        <w:t> del cliente, determinar las estrategias y tomar la decisión sobre el canal de gestión a utilizar.</w:t>
      </w:r>
    </w:p>
    <w:p w14:paraId="7D1BAA74"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b/>
          <w:bCs/>
          <w:color w:val="201F1E"/>
          <w:sz w:val="21"/>
          <w:szCs w:val="21"/>
          <w:lang w:val="es-MX"/>
        </w:rPr>
        <w:t>Gestión de Requerimientos y Próximos Pasos</w:t>
      </w:r>
    </w:p>
    <w:p w14:paraId="29672AB7" w14:textId="77777777" w:rsidR="00FB2B9A" w:rsidRDefault="00FB2B9A">
      <w:pPr>
        <w:numPr>
          <w:ilvl w:val="0"/>
          <w:numId w:val="18"/>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Definición de Requerimientos:</w:t>
      </w:r>
      <w:r>
        <w:rPr>
          <w:rFonts w:ascii="Google Sans" w:eastAsia="Times New Roman" w:hAnsi="Google Sans" w:cs="Calibri"/>
          <w:color w:val="201F1E"/>
          <w:sz w:val="21"/>
          <w:szCs w:val="21"/>
          <w:lang w:val="es-MX"/>
        </w:rPr>
        <w:t> El </w:t>
      </w:r>
      <w:r>
        <w:rPr>
          <w:rFonts w:ascii="Google Sans" w:eastAsia="Times New Roman" w:hAnsi="Google Sans" w:cs="Calibri"/>
          <w:i/>
          <w:iCs/>
          <w:color w:val="201F1E"/>
          <w:sz w:val="21"/>
          <w:szCs w:val="21"/>
          <w:lang w:val="es-MX"/>
        </w:rPr>
        <w:t>engagement</w:t>
      </w:r>
      <w:r>
        <w:rPr>
          <w:rFonts w:ascii="Google Sans" w:eastAsia="Times New Roman" w:hAnsi="Google Sans" w:cs="Calibri"/>
          <w:color w:val="201F1E"/>
          <w:sz w:val="21"/>
          <w:szCs w:val="21"/>
          <w:lang w:val="es-MX"/>
        </w:rPr>
        <w:t> con Unity se ha realizado a través de talleres y mesas funcionales, donde se han definido y priorizado </w:t>
      </w:r>
      <w:r>
        <w:rPr>
          <w:rFonts w:ascii="Google Sans" w:eastAsia="Times New Roman" w:hAnsi="Google Sans" w:cs="Calibri"/>
          <w:i/>
          <w:iCs/>
          <w:color w:val="201F1E"/>
          <w:sz w:val="21"/>
          <w:szCs w:val="21"/>
          <w:lang w:val="es-MX"/>
        </w:rPr>
        <w:t>features</w:t>
      </w:r>
      <w:r>
        <w:rPr>
          <w:rFonts w:ascii="Google Sans" w:eastAsia="Times New Roman" w:hAnsi="Google Sans" w:cs="Calibri"/>
          <w:color w:val="201F1E"/>
          <w:sz w:val="21"/>
          <w:szCs w:val="21"/>
          <w:lang w:val="es-MX"/>
        </w:rPr>
        <w:t>. El equipo de Cobranza participa en </w:t>
      </w:r>
      <w:r>
        <w:rPr>
          <w:rFonts w:ascii="Google Sans" w:eastAsia="Times New Roman" w:hAnsi="Google Sans" w:cs="Calibri"/>
          <w:i/>
          <w:iCs/>
          <w:color w:val="201F1E"/>
          <w:sz w:val="21"/>
          <w:szCs w:val="21"/>
          <w:lang w:val="es-MX"/>
        </w:rPr>
        <w:t>dailys</w:t>
      </w:r>
      <w:r>
        <w:rPr>
          <w:rFonts w:ascii="Google Sans" w:eastAsia="Times New Roman" w:hAnsi="Google Sans" w:cs="Calibri"/>
          <w:color w:val="201F1E"/>
          <w:sz w:val="21"/>
          <w:szCs w:val="21"/>
          <w:lang w:val="es-MX"/>
        </w:rPr>
        <w:t> y comités.</w:t>
      </w:r>
    </w:p>
    <w:p w14:paraId="75DE6AA5" w14:textId="77777777" w:rsidR="00FB2B9A" w:rsidRDefault="00FB2B9A">
      <w:pPr>
        <w:numPr>
          <w:ilvl w:val="0"/>
          <w:numId w:val="18"/>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Documentación:</w:t>
      </w:r>
      <w:r>
        <w:rPr>
          <w:rFonts w:ascii="Google Sans" w:eastAsia="Times New Roman" w:hAnsi="Google Sans" w:cs="Calibri"/>
          <w:color w:val="201F1E"/>
          <w:sz w:val="21"/>
          <w:szCs w:val="21"/>
          <w:lang w:val="es-MX"/>
        </w:rPr>
        <w:t> Rodolfo Antonio Vazquez Osuna está trabajando en un Documento de Especificación Funcional (DEF) para detallar los requerimientos a nivel de función e historias de usuario para el equipo de tecnología.</w:t>
      </w:r>
    </w:p>
    <w:p w14:paraId="70AE36AC" w14:textId="77777777" w:rsidR="00FB2B9A" w:rsidRDefault="00FB2B9A">
      <w:pPr>
        <w:numPr>
          <w:ilvl w:val="0"/>
          <w:numId w:val="18"/>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Complejidad:</w:t>
      </w:r>
      <w:r>
        <w:rPr>
          <w:rFonts w:ascii="Google Sans" w:eastAsia="Times New Roman" w:hAnsi="Google Sans" w:cs="Calibri"/>
          <w:color w:val="201F1E"/>
          <w:sz w:val="21"/>
          <w:szCs w:val="21"/>
          <w:lang w:val="es-MX"/>
        </w:rPr>
        <w:t> El equipo de tecnología (de banco y Smart Vista) evalúa la complejidad de implementación. Algunos requerimientos son sencillos, pero otros requieren desarrollos totalmente nuevos. No se ha indicado que algo sea imposible, aunque hay dependencias de iniciativas actuales en desarrollo.</w:t>
      </w:r>
    </w:p>
    <w:p w14:paraId="667452B4" w14:textId="77777777" w:rsidR="00FB2B9A" w:rsidRDefault="00FB2B9A">
      <w:pPr>
        <w:numPr>
          <w:ilvl w:val="0"/>
          <w:numId w:val="18"/>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Decisión para la Semana Actual:</w:t>
      </w:r>
      <w:r>
        <w:rPr>
          <w:rFonts w:ascii="Google Sans" w:eastAsia="Times New Roman" w:hAnsi="Google Sans" w:cs="Calibri"/>
          <w:color w:val="201F1E"/>
          <w:sz w:val="21"/>
          <w:szCs w:val="21"/>
          <w:lang w:val="es-MX"/>
        </w:rPr>
        <w:t> Durante la semana 2 del proyecto, el equipo de Accenture se enfocará en las definiciones de Smart Vista, Apolo y Transact, asumiendo que los requerimientos de Cobranza ya han sido considerados.</w:t>
      </w:r>
    </w:p>
    <w:p w14:paraId="1795A4BA" w14:textId="77777777" w:rsidR="00FB2B9A" w:rsidRDefault="00FB2B9A">
      <w:pPr>
        <w:numPr>
          <w:ilvl w:val="0"/>
          <w:numId w:val="18"/>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Seguimiento:</w:t>
      </w:r>
      <w:r>
        <w:rPr>
          <w:rFonts w:ascii="Google Sans" w:eastAsia="Times New Roman" w:hAnsi="Google Sans" w:cs="Calibri"/>
          <w:color w:val="201F1E"/>
          <w:sz w:val="21"/>
          <w:szCs w:val="21"/>
          <w:lang w:val="es-MX"/>
        </w:rPr>
        <w:t> En las próximas semanas, se buscará asegurar que los requerimientos del área estén correctamente incorporados en el </w:t>
      </w:r>
      <w:r>
        <w:rPr>
          <w:rFonts w:ascii="Google Sans" w:eastAsia="Times New Roman" w:hAnsi="Google Sans" w:cs="Calibri"/>
          <w:i/>
          <w:iCs/>
          <w:color w:val="201F1E"/>
          <w:sz w:val="21"/>
          <w:szCs w:val="21"/>
          <w:lang w:val="es-MX"/>
        </w:rPr>
        <w:t>roadmap</w:t>
      </w:r>
      <w:r>
        <w:rPr>
          <w:rFonts w:ascii="Google Sans" w:eastAsia="Times New Roman" w:hAnsi="Google Sans" w:cs="Calibri"/>
          <w:color w:val="201F1E"/>
          <w:sz w:val="21"/>
          <w:szCs w:val="21"/>
          <w:lang w:val="es-MX"/>
        </w:rPr>
        <w:t> del plan director. Se planteó la posibilidad de tener reuniones específicas con el equipo de Cobranza para evaluar sus impactos.</w:t>
      </w:r>
    </w:p>
    <w:p w14:paraId="62DD252C" w14:textId="77777777" w:rsidR="00FB2B9A" w:rsidRDefault="00FB2B9A">
      <w:pPr>
        <w:pStyle w:val="NormalWeb"/>
        <w:spacing w:before="0" w:beforeAutospacing="0" w:after="0" w:afterAutospacing="0"/>
        <w:rPr>
          <w:rFonts w:ascii="Calibri" w:hAnsi="Calibri" w:cs="Calibri"/>
          <w:color w:val="201F1E"/>
          <w:sz w:val="22"/>
          <w:szCs w:val="22"/>
          <w:lang w:val="es-MX"/>
        </w:rPr>
      </w:pPr>
      <w:r>
        <w:rPr>
          <w:rFonts w:ascii="Calibri" w:hAnsi="Calibri" w:cs="Calibri"/>
          <w:color w:val="201F1E"/>
          <w:sz w:val="22"/>
          <w:szCs w:val="22"/>
          <w:lang w:val="es-MX"/>
        </w:rPr>
        <w:br/>
      </w:r>
      <w:r>
        <w:rPr>
          <w:rFonts w:ascii="Google Sans" w:hAnsi="Google Sans" w:cs="Calibri"/>
          <w:b/>
          <w:bCs/>
          <w:color w:val="201F1E"/>
          <w:sz w:val="21"/>
          <w:szCs w:val="21"/>
          <w:lang w:val="es-MX"/>
        </w:rPr>
        <w:t>Stakeholders Mencionados y Su Función/Importancia</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63"/>
        <w:gridCol w:w="1543"/>
        <w:gridCol w:w="2108"/>
        <w:gridCol w:w="4226"/>
      </w:tblGrid>
      <w:tr w:rsidR="00000000" w14:paraId="50F1629A" w14:textId="77777777">
        <w:trPr>
          <w:divId w:val="938828972"/>
        </w:trPr>
        <w:tc>
          <w:tcPr>
            <w:tcW w:w="22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E7EC43"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Stakeholder</w:t>
            </w:r>
          </w:p>
        </w:tc>
        <w:tc>
          <w:tcPr>
            <w:tcW w:w="2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5FBA07"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Función/Rol</w:t>
            </w:r>
          </w:p>
        </w:tc>
        <w:tc>
          <w:tcPr>
            <w:tcW w:w="22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7089C3"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Área y Entidad</w:t>
            </w:r>
          </w:p>
        </w:tc>
        <w:tc>
          <w:tcPr>
            <w:tcW w:w="98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61FB45"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Importancia/Contexto</w:t>
            </w:r>
          </w:p>
        </w:tc>
      </w:tr>
      <w:tr w:rsidR="00000000" w14:paraId="5551876B" w14:textId="77777777">
        <w:trPr>
          <w:divId w:val="938828972"/>
        </w:trPr>
        <w:tc>
          <w:tcPr>
            <w:tcW w:w="22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60944C"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b/>
                <w:bCs/>
                <w:sz w:val="22"/>
                <w:szCs w:val="22"/>
                <w:lang w:val="es-MX"/>
              </w:rPr>
              <w:t>Rodolfo Antonio Vazquez Osuna</w:t>
            </w:r>
          </w:p>
        </w:tc>
        <w:tc>
          <w:tcPr>
            <w:tcW w:w="2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260618"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Product Manager</w:t>
            </w:r>
          </w:p>
        </w:tc>
        <w:tc>
          <w:tcPr>
            <w:tcW w:w="22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C4A26E"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Negocio de Cobranza (Coppel)</w:t>
            </w:r>
          </w:p>
        </w:tc>
        <w:tc>
          <w:tcPr>
            <w:tcW w:w="9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983C63"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Es parte del equipo de negocio de cobranza. Se enfoca en definir requerimientos para la gestión de cobranza de tarjeta de crédito (Smart Vista) y préstamos personales (Transact).</w:t>
            </w:r>
          </w:p>
        </w:tc>
      </w:tr>
      <w:tr w:rsidR="00000000" w14:paraId="07E70BF5" w14:textId="77777777">
        <w:trPr>
          <w:divId w:val="938828972"/>
        </w:trPr>
        <w:tc>
          <w:tcPr>
            <w:tcW w:w="22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C4EB9D"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b/>
                <w:bCs/>
                <w:sz w:val="22"/>
                <w:szCs w:val="22"/>
                <w:lang w:val="es-MX"/>
              </w:rPr>
              <w:t>Juan Pablo Chavez Sainz</w:t>
            </w:r>
          </w:p>
        </w:tc>
        <w:tc>
          <w:tcPr>
            <w:tcW w:w="2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8FB46A"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Product Manager</w:t>
            </w:r>
          </w:p>
        </w:tc>
        <w:tc>
          <w:tcPr>
            <w:tcW w:w="22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08F9D6"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Negocio de Cobranza (Coppel)</w:t>
            </w:r>
          </w:p>
        </w:tc>
        <w:tc>
          <w:tcPr>
            <w:tcW w:w="9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654A7A"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Lleva gran parte de la cobranza de todo el grupo Coppel. Es responsable de la </w:t>
            </w:r>
            <w:r>
              <w:rPr>
                <w:rFonts w:ascii="Google Sans" w:hAnsi="Google Sans"/>
                <w:b/>
                <w:bCs/>
                <w:sz w:val="22"/>
                <w:szCs w:val="22"/>
                <w:lang w:val="es-MX"/>
              </w:rPr>
              <w:t>Cobranza Direccionada</w:t>
            </w:r>
            <w:r>
              <w:rPr>
                <w:rFonts w:ascii="Google Sans" w:hAnsi="Google Sans"/>
                <w:sz w:val="22"/>
                <w:szCs w:val="22"/>
                <w:lang w:val="es-MX"/>
              </w:rPr>
              <w:t> (la estrategia de contacto y gestión de cobro).</w:t>
            </w:r>
          </w:p>
        </w:tc>
      </w:tr>
      <w:tr w:rsidR="00000000" w14:paraId="7BB2193A" w14:textId="77777777">
        <w:trPr>
          <w:divId w:val="938828972"/>
        </w:trPr>
        <w:tc>
          <w:tcPr>
            <w:tcW w:w="22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C25D1E"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b/>
                <w:bCs/>
                <w:sz w:val="22"/>
                <w:szCs w:val="22"/>
                <w:lang w:val="es-MX"/>
              </w:rPr>
              <w:t>David Estrada Castillo</w:t>
            </w:r>
          </w:p>
        </w:tc>
        <w:tc>
          <w:tcPr>
            <w:tcW w:w="2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7B1AB2"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Program Manager</w:t>
            </w:r>
          </w:p>
        </w:tc>
        <w:tc>
          <w:tcPr>
            <w:tcW w:w="22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BBED7E"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Tecnología (Bancoppel)</w:t>
            </w:r>
          </w:p>
        </w:tc>
        <w:tc>
          <w:tcPr>
            <w:tcW w:w="100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92B18C"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Program Manager del portafolio de cartas, crédito y cobranza. Su función es de gestión, asegurando que los requerimientos de Cobranza se definan y pulan para ser incluidos en el plan director y que el producto llegue a producción sin fallas.</w:t>
            </w:r>
          </w:p>
        </w:tc>
      </w:tr>
      <w:tr w:rsidR="00000000" w14:paraId="0920AD42" w14:textId="77777777">
        <w:trPr>
          <w:divId w:val="938828972"/>
        </w:trPr>
        <w:tc>
          <w:tcPr>
            <w:tcW w:w="22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7ED04F"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b/>
                <w:bCs/>
                <w:sz w:val="22"/>
                <w:szCs w:val="22"/>
                <w:lang w:val="es-MX"/>
              </w:rPr>
              <w:t>Teresa Gonzalez Navarro (Tere)</w:t>
            </w:r>
          </w:p>
        </w:tc>
        <w:tc>
          <w:tcPr>
            <w:tcW w:w="2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0A6BD8"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Stakeholder Clave en Gobierno</w:t>
            </w:r>
          </w:p>
        </w:tc>
        <w:tc>
          <w:tcPr>
            <w:tcW w:w="22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D83522"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Sin especificar (Coppel/Bancoppel)</w:t>
            </w:r>
          </w:p>
        </w:tc>
        <w:tc>
          <w:tcPr>
            <w:tcW w:w="9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7B0FFA"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Dirigió al equipo de Accenture con Cobranza. Es la principal colaboradora en el </w:t>
            </w:r>
            <w:r>
              <w:rPr>
                <w:rFonts w:ascii="Google Sans" w:hAnsi="Google Sans"/>
                <w:i/>
                <w:iCs/>
                <w:sz w:val="22"/>
                <w:szCs w:val="22"/>
                <w:lang w:val="es-MX"/>
              </w:rPr>
              <w:t>Track</w:t>
            </w:r>
            <w:r>
              <w:rPr>
                <w:rFonts w:ascii="Google Sans" w:hAnsi="Google Sans"/>
                <w:sz w:val="22"/>
                <w:szCs w:val="22"/>
                <w:lang w:val="es-MX"/>
              </w:rPr>
              <w:t> de Gobierno de Unity.</w:t>
            </w:r>
          </w:p>
        </w:tc>
      </w:tr>
      <w:tr w:rsidR="00000000" w14:paraId="36CF0F70" w14:textId="77777777">
        <w:trPr>
          <w:divId w:val="938828972"/>
        </w:trPr>
        <w:tc>
          <w:tcPr>
            <w:tcW w:w="22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A382BC"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b/>
                <w:bCs/>
                <w:sz w:val="22"/>
                <w:szCs w:val="22"/>
                <w:lang w:val="es-MX"/>
              </w:rPr>
              <w:t>Iván de la O</w:t>
            </w:r>
          </w:p>
        </w:tc>
        <w:tc>
          <w:tcPr>
            <w:tcW w:w="2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DB4442"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 xml:space="preserve">Director </w:t>
            </w:r>
            <w:r>
              <w:rPr>
                <w:rFonts w:ascii="Google Sans" w:hAnsi="Google Sans"/>
                <w:sz w:val="22"/>
                <w:szCs w:val="22"/>
                <w:lang w:val="es-MX"/>
              </w:rPr>
              <w:t>Corporativo</w:t>
            </w:r>
          </w:p>
        </w:tc>
        <w:tc>
          <w:tcPr>
            <w:tcW w:w="22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D66945"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Dirección de Crédito y Ciencia de Datos</w:t>
            </w:r>
          </w:p>
        </w:tc>
        <w:tc>
          <w:tcPr>
            <w:tcW w:w="97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917F58"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Mencionada como el principal </w:t>
            </w:r>
            <w:r>
              <w:rPr>
                <w:rFonts w:ascii="Google Sans" w:hAnsi="Google Sans"/>
                <w:i/>
                <w:iCs/>
                <w:sz w:val="22"/>
                <w:szCs w:val="22"/>
                <w:lang w:val="es-MX"/>
              </w:rPr>
              <w:t>stakeholder</w:t>
            </w:r>
            <w:r>
              <w:rPr>
                <w:rFonts w:ascii="Google Sans" w:hAnsi="Google Sans"/>
                <w:sz w:val="22"/>
                <w:szCs w:val="22"/>
                <w:lang w:val="es-MX"/>
              </w:rPr>
              <w:t> (director corporativo) de cobranza.</w:t>
            </w:r>
          </w:p>
        </w:tc>
      </w:tr>
      <w:tr w:rsidR="00000000" w14:paraId="672C0151" w14:textId="77777777">
        <w:trPr>
          <w:divId w:val="938828972"/>
        </w:trPr>
        <w:tc>
          <w:tcPr>
            <w:tcW w:w="22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900591"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b/>
                <w:bCs/>
                <w:sz w:val="22"/>
                <w:szCs w:val="22"/>
                <w:lang w:val="es-MX"/>
              </w:rPr>
              <w:t>Tomás Arroyo</w:t>
            </w:r>
          </w:p>
        </w:tc>
        <w:tc>
          <w:tcPr>
            <w:tcW w:w="2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326942"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Liderazgo en Cobranza</w:t>
            </w:r>
          </w:p>
        </w:tc>
        <w:tc>
          <w:tcPr>
            <w:tcW w:w="22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FD0428"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Grupo Coppel</w:t>
            </w:r>
          </w:p>
        </w:tc>
        <w:tc>
          <w:tcPr>
            <w:tcW w:w="98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95640B"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Colabora con Juan Pablo Chavez Sainz en el liderazgo de la cobranza de todo el grupo.</w:t>
            </w:r>
          </w:p>
        </w:tc>
      </w:tr>
      <w:tr w:rsidR="00000000" w14:paraId="19AE8D12" w14:textId="77777777">
        <w:trPr>
          <w:divId w:val="938828972"/>
        </w:trPr>
        <w:tc>
          <w:tcPr>
            <w:tcW w:w="22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3B5C11"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b/>
                <w:bCs/>
                <w:sz w:val="22"/>
                <w:szCs w:val="22"/>
                <w:lang w:val="es-MX"/>
              </w:rPr>
              <w:t>Marcel Sanvicente</w:t>
            </w:r>
          </w:p>
        </w:tc>
        <w:tc>
          <w:tcPr>
            <w:tcW w:w="25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47B145"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Apoyo Tecnológico (Líder Técnico Senior PMO)</w:t>
            </w:r>
          </w:p>
        </w:tc>
        <w:tc>
          <w:tcPr>
            <w:tcW w:w="22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688DA3"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Tecnología (Coppel)</w:t>
            </w:r>
          </w:p>
        </w:tc>
        <w:tc>
          <w:tcPr>
            <w:tcW w:w="97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0EA3CC"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Mencionada como parte del equipo de tecnología, apoyando al equipo de negocio.</w:t>
            </w:r>
          </w:p>
        </w:tc>
      </w:tr>
      <w:tr w:rsidR="00000000" w14:paraId="4338F34A" w14:textId="77777777">
        <w:trPr>
          <w:divId w:val="938828972"/>
        </w:trPr>
        <w:tc>
          <w:tcPr>
            <w:tcW w:w="22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66BBB6"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b/>
                <w:bCs/>
                <w:sz w:val="22"/>
                <w:szCs w:val="22"/>
                <w:lang w:val="es-MX"/>
              </w:rPr>
              <w:t>Johana Meza</w:t>
            </w:r>
          </w:p>
        </w:tc>
        <w:tc>
          <w:tcPr>
            <w:tcW w:w="2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3C1C97"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Apoyo al Equipo de Negocio</w:t>
            </w:r>
          </w:p>
        </w:tc>
        <w:tc>
          <w:tcPr>
            <w:tcW w:w="22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21C724"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Cobranza (Mencionada)</w:t>
            </w:r>
          </w:p>
        </w:tc>
        <w:tc>
          <w:tcPr>
            <w:tcW w:w="98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E17456"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Se sugirió incluirla en futuras sesiones por su gran apoyo al equipo de negocio.</w:t>
            </w:r>
          </w:p>
        </w:tc>
      </w:tr>
      <w:tr w:rsidR="00000000" w14:paraId="5275C63B" w14:textId="77777777">
        <w:trPr>
          <w:divId w:val="938828972"/>
        </w:trPr>
        <w:tc>
          <w:tcPr>
            <w:tcW w:w="22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DA3505"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b/>
                <w:bCs/>
                <w:sz w:val="22"/>
                <w:szCs w:val="22"/>
                <w:lang w:val="es-MX"/>
              </w:rPr>
              <w:t>Abriendo Pichardo (J. Antonio Pichardo)</w:t>
            </w:r>
          </w:p>
        </w:tc>
        <w:tc>
          <w:tcPr>
            <w:tcW w:w="2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310A89"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Liderazgo Superior</w:t>
            </w:r>
          </w:p>
        </w:tc>
        <w:tc>
          <w:tcPr>
            <w:tcW w:w="22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6DFE37"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Sin especificar</w:t>
            </w:r>
          </w:p>
        </w:tc>
        <w:tc>
          <w:tcPr>
            <w:tcW w:w="98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BE52A7"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Ubicado una jerarquía superior a David Estrada en la estructura.</w:t>
            </w:r>
          </w:p>
        </w:tc>
      </w:tr>
      <w:tr w:rsidR="00000000" w14:paraId="27AAFABE" w14:textId="77777777">
        <w:trPr>
          <w:divId w:val="938828972"/>
        </w:trPr>
        <w:tc>
          <w:tcPr>
            <w:tcW w:w="22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429F0D"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b/>
                <w:bCs/>
                <w:sz w:val="22"/>
                <w:szCs w:val="22"/>
                <w:lang w:val="es-MX"/>
              </w:rPr>
              <w:t>Sergio del Valle</w:t>
            </w:r>
          </w:p>
        </w:tc>
        <w:tc>
          <w:tcPr>
            <w:tcW w:w="2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DC727E"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Producto</w:t>
            </w:r>
          </w:p>
        </w:tc>
        <w:tc>
          <w:tcPr>
            <w:tcW w:w="22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210B2A"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Sin especificar</w:t>
            </w:r>
          </w:p>
        </w:tc>
        <w:tc>
          <w:tcPr>
            <w:tcW w:w="98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B6175C" w14:textId="77777777" w:rsidR="00FB2B9A" w:rsidRDefault="00FB2B9A">
            <w:pPr>
              <w:pStyle w:val="NormalWeb"/>
              <w:spacing w:before="0" w:beforeAutospacing="0" w:after="0" w:afterAutospacing="0"/>
              <w:rPr>
                <w:rFonts w:ascii="Google Sans" w:hAnsi="Google Sans"/>
                <w:sz w:val="22"/>
                <w:szCs w:val="22"/>
                <w:lang w:val="es-MX"/>
              </w:rPr>
            </w:pPr>
            <w:r>
              <w:rPr>
                <w:rFonts w:ascii="Google Sans" w:hAnsi="Google Sans"/>
                <w:sz w:val="22"/>
                <w:szCs w:val="22"/>
                <w:lang w:val="es-MX"/>
              </w:rPr>
              <w:t>Mencionada en la correlación del tema de Contactabilidad y Apolo.</w:t>
            </w:r>
          </w:p>
        </w:tc>
      </w:tr>
    </w:tbl>
    <w:p w14:paraId="65620817" w14:textId="77777777" w:rsidR="00FB2B9A" w:rsidRDefault="00FB2B9A">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CDD359D" w14:textId="77777777" w:rsidR="00FB2B9A" w:rsidRDefault="00FB2B9A">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D5ED161" w14:textId="77777777" w:rsidR="00FB2B9A" w:rsidRDefault="00FB2B9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934E21" w14:textId="77777777" w:rsidR="00FB2B9A" w:rsidRDefault="00FB2B9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29244D" w14:textId="77777777" w:rsidR="00FB2B9A" w:rsidRDefault="00FB2B9A">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6.Abr.2026 - Kick Off</w:t>
      </w:r>
    </w:p>
    <w:p w14:paraId="4C626F6B" w14:textId="77777777" w:rsidR="00FB2B9A" w:rsidRDefault="00FB2B9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April 6, 2026</w:t>
      </w:r>
    </w:p>
    <w:p w14:paraId="775946B7" w14:textId="77777777" w:rsidR="00FB2B9A" w:rsidRDefault="00FB2B9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6:27 PM</w:t>
      </w:r>
    </w:p>
    <w:p w14:paraId="36FADB6F" w14:textId="77777777" w:rsidR="00FB2B9A" w:rsidRDefault="00FB2B9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C0FC07"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b/>
          <w:bCs/>
          <w:color w:val="201F1E"/>
          <w:sz w:val="21"/>
          <w:szCs w:val="21"/>
          <w:lang w:val="es-MX"/>
        </w:rPr>
        <w:t>Contexto y Antecedentes del Programa UNITY</w:t>
      </w:r>
    </w:p>
    <w:p w14:paraId="1691760E" w14:textId="77777777" w:rsidR="00FB2B9A" w:rsidRDefault="00FB2B9A">
      <w:pPr>
        <w:numPr>
          <w:ilvl w:val="0"/>
          <w:numId w:val="19"/>
        </w:numPr>
        <w:textAlignment w:val="center"/>
        <w:rPr>
          <w:rFonts w:ascii="Calibri" w:eastAsia="Times New Roman" w:hAnsi="Calibri" w:cs="Calibri"/>
          <w:color w:val="201F1E"/>
          <w:sz w:val="22"/>
          <w:szCs w:val="22"/>
          <w:lang w:val="es-MX"/>
        </w:rPr>
      </w:pPr>
      <w:r>
        <w:rPr>
          <w:rFonts w:ascii="Google Sans" w:eastAsia="Times New Roman" w:hAnsi="Google Sans" w:cs="Calibri"/>
          <w:color w:val="201F1E"/>
          <w:sz w:val="21"/>
          <w:szCs w:val="21"/>
          <w:lang w:val="es-MX"/>
        </w:rPr>
        <w:t xml:space="preserve">El </w:t>
      </w:r>
      <w:r>
        <w:rPr>
          <w:rFonts w:ascii="Google Sans" w:eastAsia="Times New Roman" w:hAnsi="Google Sans" w:cs="Calibri"/>
          <w:color w:val="201F1E"/>
          <w:sz w:val="21"/>
          <w:szCs w:val="21"/>
          <w:lang w:val="es-MX"/>
        </w:rPr>
        <w:t>programa UNITY se aprobó en mayo de 2023. Inicialmente, el enfoque era el cambio del </w:t>
      </w:r>
      <w:r>
        <w:rPr>
          <w:rFonts w:ascii="Google Sans" w:eastAsia="Times New Roman" w:hAnsi="Google Sans" w:cs="Calibri"/>
          <w:i/>
          <w:iCs/>
          <w:color w:val="201F1E"/>
          <w:sz w:val="21"/>
          <w:szCs w:val="21"/>
          <w:lang w:val="es-MX"/>
        </w:rPr>
        <w:t>core</w:t>
      </w:r>
      <w:r>
        <w:rPr>
          <w:rFonts w:ascii="Google Sans" w:eastAsia="Times New Roman" w:hAnsi="Google Sans" w:cs="Calibri"/>
          <w:color w:val="201F1E"/>
          <w:sz w:val="21"/>
          <w:szCs w:val="21"/>
          <w:lang w:val="es-MX"/>
        </w:rPr>
        <w:t> bancario, pero la revisión indicó que se requerían cambios más amplios para abordar una "bancarrota técnica" dentro de Grupo Coppel.</w:t>
      </w:r>
    </w:p>
    <w:p w14:paraId="656AC4EF" w14:textId="77777777" w:rsidR="00FB2B9A" w:rsidRDefault="00FB2B9A">
      <w:pPr>
        <w:numPr>
          <w:ilvl w:val="0"/>
          <w:numId w:val="19"/>
        </w:numPr>
        <w:textAlignment w:val="center"/>
        <w:rPr>
          <w:rFonts w:ascii="Calibri" w:eastAsia="Times New Roman" w:hAnsi="Calibri" w:cs="Calibri"/>
          <w:color w:val="201F1E"/>
          <w:sz w:val="22"/>
          <w:szCs w:val="22"/>
          <w:lang w:val="es-MX"/>
        </w:rPr>
      </w:pPr>
      <w:r>
        <w:rPr>
          <w:rFonts w:ascii="Google Sans" w:eastAsia="Times New Roman" w:hAnsi="Google Sans" w:cs="Calibri"/>
          <w:color w:val="201F1E"/>
          <w:sz w:val="21"/>
          <w:szCs w:val="21"/>
          <w:lang w:val="es-MX"/>
        </w:rPr>
        <w:t>El 14 de abril de 2024, un incidente de ciberseguridad obligó al equipo a desmantelar parcialmente el proyecto y mudarse a Culiacán durante siete meses para concentrarse en las tiendas de Grupo Coppel, que representan una parte significativamente mayor de los ingresos que el banco (10-12%).</w:t>
      </w:r>
    </w:p>
    <w:p w14:paraId="4C11FA76" w14:textId="77777777" w:rsidR="00FB2B9A" w:rsidRDefault="00FB2B9A">
      <w:pPr>
        <w:numPr>
          <w:ilvl w:val="0"/>
          <w:numId w:val="19"/>
        </w:numPr>
        <w:textAlignment w:val="center"/>
        <w:rPr>
          <w:rFonts w:ascii="Calibri" w:eastAsia="Times New Roman" w:hAnsi="Calibri" w:cs="Calibri"/>
          <w:color w:val="201F1E"/>
          <w:sz w:val="22"/>
          <w:szCs w:val="22"/>
          <w:lang w:val="es-MX"/>
        </w:rPr>
      </w:pPr>
      <w:r>
        <w:rPr>
          <w:rFonts w:ascii="Google Sans" w:eastAsia="Times New Roman" w:hAnsi="Google Sans" w:cs="Calibri"/>
          <w:color w:val="201F1E"/>
          <w:sz w:val="21"/>
          <w:szCs w:val="21"/>
          <w:lang w:val="es-MX"/>
        </w:rPr>
        <w:t>El plan director original se vio afectado, y personal clave fue reasignado para levantar procesos importantes como "alta única".</w:t>
      </w:r>
    </w:p>
    <w:p w14:paraId="68C26173" w14:textId="77777777" w:rsidR="00FB2B9A" w:rsidRDefault="00FB2B9A">
      <w:pPr>
        <w:numPr>
          <w:ilvl w:val="0"/>
          <w:numId w:val="19"/>
        </w:numPr>
        <w:textAlignment w:val="center"/>
        <w:rPr>
          <w:rFonts w:ascii="Calibri" w:eastAsia="Times New Roman" w:hAnsi="Calibri" w:cs="Calibri"/>
          <w:color w:val="201F1E"/>
          <w:sz w:val="22"/>
          <w:szCs w:val="22"/>
          <w:lang w:val="es-MX"/>
        </w:rPr>
      </w:pPr>
      <w:r>
        <w:rPr>
          <w:rFonts w:ascii="Google Sans" w:eastAsia="Times New Roman" w:hAnsi="Google Sans" w:cs="Calibri"/>
          <w:color w:val="201F1E"/>
          <w:sz w:val="21"/>
          <w:szCs w:val="21"/>
          <w:lang w:val="es-MX"/>
        </w:rPr>
        <w:t>Tras el regreso en octubre/noviembre, el equipo se dio cuenta de que el plan director no era suficiente para implementar Transac más allá de una configuración limitada de crédito empresarial (sandbox de diciembre), y no había un plan para 2025.</w:t>
      </w:r>
    </w:p>
    <w:p w14:paraId="042157CA" w14:textId="77777777" w:rsidR="00FB2B9A" w:rsidRDefault="00FB2B9A">
      <w:pPr>
        <w:numPr>
          <w:ilvl w:val="0"/>
          <w:numId w:val="19"/>
        </w:numPr>
        <w:textAlignment w:val="center"/>
        <w:rPr>
          <w:rFonts w:ascii="Calibri" w:eastAsia="Times New Roman" w:hAnsi="Calibri" w:cs="Calibri"/>
          <w:color w:val="201F1E"/>
          <w:sz w:val="22"/>
          <w:szCs w:val="22"/>
          <w:lang w:val="es-MX"/>
        </w:rPr>
      </w:pPr>
      <w:r>
        <w:rPr>
          <w:rFonts w:ascii="Google Sans" w:eastAsia="Times New Roman" w:hAnsi="Google Sans" w:cs="Calibri"/>
          <w:color w:val="201F1E"/>
          <w:sz w:val="21"/>
          <w:szCs w:val="21"/>
          <w:lang w:val="es-MX"/>
        </w:rPr>
        <w:t>La crisis llevó a un punto de inflexión donde se involucró al equipo de negocio (Tere y Sergio) para acelerar las decisiones y el liderazgo.</w:t>
      </w:r>
    </w:p>
    <w:p w14:paraId="0E31A026" w14:textId="77777777" w:rsidR="00FB2B9A" w:rsidRDefault="00FB2B9A">
      <w:pPr>
        <w:numPr>
          <w:ilvl w:val="0"/>
          <w:numId w:val="19"/>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Estrategia 2030:</w:t>
      </w:r>
      <w:r>
        <w:rPr>
          <w:rFonts w:ascii="Google Sans" w:eastAsia="Times New Roman" w:hAnsi="Google Sans" w:cs="Calibri"/>
          <w:color w:val="201F1E"/>
          <w:sz w:val="21"/>
          <w:szCs w:val="21"/>
          <w:lang w:val="es-MX"/>
        </w:rPr>
        <w:t xml:space="preserve"> El 80% de las iniciativas de tecnología para alcanzar la meta de generar entre 2.3 y 2.5 veces el ingreso en utilidades </w:t>
      </w:r>
      <w:r>
        <w:rPr>
          <w:rFonts w:ascii="Google Sans" w:eastAsia="Times New Roman" w:hAnsi="Google Sans" w:cs="Calibri"/>
          <w:color w:val="201F1E"/>
          <w:sz w:val="21"/>
          <w:szCs w:val="21"/>
          <w:lang w:val="es-MX"/>
        </w:rPr>
        <w:t>del banco están relacionadas con UNITY, impactando alrededor del 40% de los ingresos.</w:t>
      </w:r>
    </w:p>
    <w:p w14:paraId="20D99B63"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572AE6AD"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b/>
          <w:bCs/>
          <w:color w:val="201F1E"/>
          <w:sz w:val="21"/>
          <w:szCs w:val="21"/>
          <w:lang w:val="es-MX"/>
        </w:rPr>
        <w:t>Refuerzo de Equipo y Liderazgo</w:t>
      </w:r>
    </w:p>
    <w:p w14:paraId="23E06027" w14:textId="77777777" w:rsidR="00FB2B9A" w:rsidRDefault="00FB2B9A">
      <w:pPr>
        <w:numPr>
          <w:ilvl w:val="0"/>
          <w:numId w:val="20"/>
        </w:numPr>
        <w:textAlignment w:val="center"/>
        <w:rPr>
          <w:rFonts w:ascii="Calibri" w:eastAsia="Times New Roman" w:hAnsi="Calibri" w:cs="Calibri"/>
          <w:color w:val="201F1E"/>
          <w:sz w:val="22"/>
          <w:szCs w:val="22"/>
          <w:lang w:val="es-MX"/>
        </w:rPr>
      </w:pPr>
      <w:r>
        <w:rPr>
          <w:rFonts w:ascii="Google Sans" w:eastAsia="Times New Roman" w:hAnsi="Google Sans" w:cs="Calibri"/>
          <w:color w:val="201F1E"/>
          <w:sz w:val="21"/>
          <w:szCs w:val="21"/>
          <w:lang w:val="es-MX"/>
        </w:rPr>
        <w:t>Se han realizado cambios importantes de liderazgo debido a que el proyecto ha sido "abrasivo," y se ha buscado talento con el perfil adecuado para un programa de transformación de este tamaño.</w:t>
      </w:r>
    </w:p>
    <w:p w14:paraId="71D581D2" w14:textId="77777777" w:rsidR="00FB2B9A" w:rsidRDefault="00FB2B9A">
      <w:pPr>
        <w:numPr>
          <w:ilvl w:val="0"/>
          <w:numId w:val="20"/>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Apoyo Externo:</w:t>
      </w:r>
      <w:r>
        <w:rPr>
          <w:rFonts w:ascii="Google Sans" w:eastAsia="Times New Roman" w:hAnsi="Google Sans" w:cs="Calibri"/>
          <w:color w:val="201F1E"/>
          <w:sz w:val="21"/>
          <w:szCs w:val="21"/>
          <w:lang w:val="es-MX"/>
        </w:rPr>
        <w:t> Se está trabajando con E&amp;Y (en la parte del </w:t>
      </w:r>
      <w:r>
        <w:rPr>
          <w:rFonts w:ascii="Google Sans" w:eastAsia="Times New Roman" w:hAnsi="Google Sans" w:cs="Calibri"/>
          <w:i/>
          <w:iCs/>
          <w:color w:val="201F1E"/>
          <w:sz w:val="21"/>
          <w:szCs w:val="21"/>
          <w:lang w:val="es-MX"/>
        </w:rPr>
        <w:t>Core</w:t>
      </w:r>
      <w:r>
        <w:rPr>
          <w:rFonts w:ascii="Google Sans" w:eastAsia="Times New Roman" w:hAnsi="Google Sans" w:cs="Calibri"/>
          <w:color w:val="201F1E"/>
          <w:sz w:val="21"/>
          <w:szCs w:val="21"/>
          <w:lang w:val="es-MX"/>
        </w:rPr>
        <w:t> bancario Transac y su ecosistema) y con Accenture (para la visión del portafolio del programa del Plan Director).</w:t>
      </w:r>
    </w:p>
    <w:p w14:paraId="26E24456" w14:textId="77777777" w:rsidR="00FB2B9A" w:rsidRDefault="00FB2B9A">
      <w:pPr>
        <w:numPr>
          <w:ilvl w:val="0"/>
          <w:numId w:val="20"/>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Nuevas Incorporaciones:</w:t>
      </w:r>
      <w:r>
        <w:rPr>
          <w:rFonts w:ascii="Google Sans" w:eastAsia="Times New Roman" w:hAnsi="Google Sans" w:cs="Calibri"/>
          <w:color w:val="201F1E"/>
          <w:sz w:val="21"/>
          <w:szCs w:val="21"/>
          <w:lang w:val="es-MX"/>
        </w:rPr>
        <w:t> Pablo se une como responsable del programa UNITY, con un compromiso total para el proyecto.</w:t>
      </w:r>
    </w:p>
    <w:p w14:paraId="51645236" w14:textId="77777777" w:rsidR="00FB2B9A" w:rsidRDefault="00FB2B9A">
      <w:pPr>
        <w:numPr>
          <w:ilvl w:val="0"/>
          <w:numId w:val="20"/>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Alineación Ejecutiva:</w:t>
      </w:r>
      <w:r>
        <w:rPr>
          <w:rFonts w:ascii="Google Sans" w:eastAsia="Times New Roman" w:hAnsi="Google Sans" w:cs="Calibri"/>
          <w:color w:val="201F1E"/>
          <w:sz w:val="21"/>
          <w:szCs w:val="21"/>
          <w:lang w:val="es-MX"/>
        </w:rPr>
        <w:t xml:space="preserve"> Santiago Ontañon, Director de </w:t>
      </w:r>
      <w:r>
        <w:rPr>
          <w:rFonts w:ascii="Google Sans" w:eastAsia="Times New Roman" w:hAnsi="Google Sans" w:cs="Calibri"/>
          <w:color w:val="201F1E"/>
          <w:sz w:val="21"/>
          <w:szCs w:val="21"/>
          <w:lang w:val="es-MX"/>
        </w:rPr>
        <w:t>Tecnología de Grupo Coppel, está a cargo de toda la tecnología del grupo (servicios financieros, retail, telecomunicaciones, etc.) y ve a UNITY como un proyecto central para la misión de tecnología: dejar de ser la excusa por la cual el negocio no puede avanzar.</w:t>
      </w:r>
    </w:p>
    <w:p w14:paraId="10B2B996"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33866C69"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b/>
          <w:bCs/>
          <w:color w:val="201F1E"/>
          <w:sz w:val="21"/>
          <w:szCs w:val="21"/>
          <w:lang w:val="es-MX"/>
        </w:rPr>
        <w:t>Estructura del Plan de Aceleración (Fase de Seis Semanas)</w:t>
      </w:r>
    </w:p>
    <w:p w14:paraId="46F9C578"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color w:val="201F1E"/>
          <w:sz w:val="21"/>
          <w:szCs w:val="21"/>
          <w:lang w:val="es-MX"/>
        </w:rPr>
        <w:t>El plan actual es una fase ambiciosa de </w:t>
      </w:r>
      <w:r>
        <w:rPr>
          <w:rFonts w:ascii="Google Sans" w:hAnsi="Google Sans" w:cs="Calibri"/>
          <w:i/>
          <w:iCs/>
          <w:color w:val="201F1E"/>
          <w:sz w:val="21"/>
          <w:szCs w:val="21"/>
          <w:lang w:val="es-MX"/>
        </w:rPr>
        <w:t>Due Diligence</w:t>
      </w:r>
      <w:r>
        <w:rPr>
          <w:rFonts w:ascii="Google Sans" w:hAnsi="Google Sans" w:cs="Calibri"/>
          <w:color w:val="201F1E"/>
          <w:sz w:val="21"/>
          <w:szCs w:val="21"/>
          <w:lang w:val="es-MX"/>
        </w:rPr>
        <w:t> con una duración de seis semanas (actualmente en la semana 2), que corre en dos </w:t>
      </w:r>
      <w:r>
        <w:rPr>
          <w:rFonts w:ascii="Google Sans" w:hAnsi="Google Sans" w:cs="Calibri"/>
          <w:i/>
          <w:iCs/>
          <w:color w:val="201F1E"/>
          <w:sz w:val="21"/>
          <w:szCs w:val="21"/>
          <w:lang w:val="es-MX"/>
        </w:rPr>
        <w:t>tracks</w:t>
      </w:r>
      <w:r>
        <w:rPr>
          <w:rFonts w:ascii="Google Sans" w:hAnsi="Google Sans" w:cs="Calibri"/>
          <w:color w:val="201F1E"/>
          <w:sz w:val="21"/>
          <w:szCs w:val="21"/>
          <w:lang w:val="es-MX"/>
        </w:rPr>
        <w:t> paralelos.</w:t>
      </w:r>
    </w:p>
    <w:p w14:paraId="771977D0" w14:textId="77777777" w:rsidR="00FB2B9A" w:rsidRDefault="00FB2B9A">
      <w:pPr>
        <w:numPr>
          <w:ilvl w:val="0"/>
          <w:numId w:val="21"/>
        </w:numPr>
        <w:textAlignment w:val="center"/>
        <w:rPr>
          <w:rFonts w:ascii="Calibri" w:eastAsia="Times New Roman" w:hAnsi="Calibri" w:cs="Calibri"/>
          <w:b/>
          <w:bCs/>
          <w:color w:val="201F1E"/>
          <w:sz w:val="21"/>
          <w:szCs w:val="21"/>
          <w:lang w:val="es-MX"/>
        </w:rPr>
      </w:pPr>
      <w:r>
        <w:rPr>
          <w:rFonts w:ascii="Google Sans" w:eastAsia="Times New Roman" w:hAnsi="Google Sans" w:cs="Calibri"/>
          <w:b/>
          <w:bCs/>
          <w:color w:val="201F1E"/>
          <w:sz w:val="21"/>
          <w:szCs w:val="21"/>
          <w:lang w:val="es-MX"/>
        </w:rPr>
        <w:t>Track de Gobierno de Unity:</w:t>
      </w:r>
    </w:p>
    <w:p w14:paraId="271663FF" w14:textId="77777777" w:rsidR="00FB2B9A" w:rsidRDefault="00FB2B9A">
      <w:pPr>
        <w:numPr>
          <w:ilvl w:val="1"/>
          <w:numId w:val="21"/>
        </w:numPr>
        <w:textAlignment w:val="center"/>
        <w:rPr>
          <w:rFonts w:ascii="Calibri" w:eastAsia="Times New Roman" w:hAnsi="Calibri" w:cs="Calibri"/>
          <w:b/>
          <w:bCs/>
          <w:color w:val="201F1E"/>
          <w:sz w:val="21"/>
          <w:szCs w:val="21"/>
          <w:lang w:val="es-MX"/>
        </w:rPr>
      </w:pPr>
      <w:r>
        <w:rPr>
          <w:rFonts w:ascii="Google Sans" w:eastAsia="Times New Roman" w:hAnsi="Google Sans" w:cs="Calibri"/>
          <w:b/>
          <w:bCs/>
          <w:color w:val="201F1E"/>
          <w:sz w:val="21"/>
          <w:szCs w:val="21"/>
          <w:lang w:val="es-MX"/>
        </w:rPr>
        <w:t>Objetivo: Diagnosticar cómo está gobernado el programa actualmente.</w:t>
      </w:r>
    </w:p>
    <w:p w14:paraId="2106E3D0" w14:textId="77777777" w:rsidR="00FB2B9A" w:rsidRDefault="00FB2B9A">
      <w:pPr>
        <w:numPr>
          <w:ilvl w:val="1"/>
          <w:numId w:val="21"/>
        </w:numPr>
        <w:textAlignment w:val="center"/>
        <w:rPr>
          <w:rFonts w:ascii="Calibri" w:eastAsia="Times New Roman" w:hAnsi="Calibri" w:cs="Calibri"/>
          <w:b/>
          <w:bCs/>
          <w:color w:val="201F1E"/>
          <w:sz w:val="21"/>
          <w:szCs w:val="21"/>
          <w:lang w:val="es-MX"/>
        </w:rPr>
      </w:pPr>
      <w:r>
        <w:rPr>
          <w:rFonts w:ascii="Google Sans" w:eastAsia="Times New Roman" w:hAnsi="Google Sans" w:cs="Calibri"/>
          <w:b/>
          <w:bCs/>
          <w:color w:val="201F1E"/>
          <w:sz w:val="21"/>
          <w:szCs w:val="21"/>
          <w:lang w:val="es-MX"/>
        </w:rPr>
        <w:t>Resultado Esperado: Crear un plan de mitigación de brechas con el objetivo de tomar el gobierno del programa por los próximos tres años, comenzando en la semana siete.</w:t>
      </w:r>
    </w:p>
    <w:p w14:paraId="205E628E" w14:textId="77777777" w:rsidR="00FB2B9A" w:rsidRDefault="00FB2B9A">
      <w:pPr>
        <w:numPr>
          <w:ilvl w:val="1"/>
          <w:numId w:val="21"/>
        </w:numPr>
        <w:textAlignment w:val="center"/>
        <w:rPr>
          <w:rFonts w:ascii="Calibri" w:eastAsia="Times New Roman" w:hAnsi="Calibri" w:cs="Calibri"/>
          <w:b/>
          <w:bCs/>
          <w:color w:val="201F1E"/>
          <w:sz w:val="21"/>
          <w:szCs w:val="21"/>
          <w:lang w:val="es-MX"/>
        </w:rPr>
      </w:pPr>
      <w:r>
        <w:rPr>
          <w:rFonts w:ascii="Google Sans" w:eastAsia="Times New Roman" w:hAnsi="Google Sans" w:cs="Calibri"/>
          <w:b/>
          <w:bCs/>
          <w:color w:val="201F1E"/>
          <w:sz w:val="21"/>
          <w:szCs w:val="21"/>
          <w:lang w:val="es-MX"/>
        </w:rPr>
        <w:t>Líder: Alonso García de Accenture.</w:t>
      </w:r>
    </w:p>
    <w:p w14:paraId="5FF799B5" w14:textId="77777777" w:rsidR="00FB2B9A" w:rsidRDefault="00FB2B9A">
      <w:pPr>
        <w:numPr>
          <w:ilvl w:val="0"/>
          <w:numId w:val="21"/>
        </w:numPr>
        <w:textAlignment w:val="center"/>
        <w:rPr>
          <w:rFonts w:ascii="Calibri" w:eastAsia="Times New Roman" w:hAnsi="Calibri" w:cs="Calibri"/>
          <w:b/>
          <w:bCs/>
          <w:color w:val="201F1E"/>
          <w:sz w:val="21"/>
          <w:szCs w:val="21"/>
          <w:lang w:val="es-MX"/>
        </w:rPr>
      </w:pPr>
      <w:r>
        <w:rPr>
          <w:rFonts w:ascii="Google Sans" w:eastAsia="Times New Roman" w:hAnsi="Google Sans" w:cs="Calibri"/>
          <w:b/>
          <w:bCs/>
          <w:color w:val="201F1E"/>
          <w:sz w:val="21"/>
          <w:szCs w:val="21"/>
          <w:lang w:val="es-MX"/>
        </w:rPr>
        <w:t>Track de Estrategia Tecnológica:</w:t>
      </w:r>
    </w:p>
    <w:p w14:paraId="38D09078" w14:textId="77777777" w:rsidR="00FB2B9A" w:rsidRDefault="00FB2B9A">
      <w:pPr>
        <w:numPr>
          <w:ilvl w:val="1"/>
          <w:numId w:val="21"/>
        </w:numPr>
        <w:textAlignment w:val="center"/>
        <w:rPr>
          <w:rFonts w:ascii="Calibri" w:eastAsia="Times New Roman" w:hAnsi="Calibri" w:cs="Calibri"/>
          <w:b/>
          <w:bCs/>
          <w:color w:val="201F1E"/>
          <w:sz w:val="21"/>
          <w:szCs w:val="21"/>
          <w:lang w:val="es-MX"/>
        </w:rPr>
      </w:pPr>
      <w:r>
        <w:rPr>
          <w:rFonts w:ascii="Google Sans" w:eastAsia="Times New Roman" w:hAnsi="Google Sans" w:cs="Calibri"/>
          <w:b/>
          <w:bCs/>
          <w:color w:val="201F1E"/>
          <w:sz w:val="21"/>
          <w:szCs w:val="21"/>
          <w:lang w:val="es-MX"/>
        </w:rPr>
        <w:t>Enfoque Principal: Arquitectura tecnológica futura y su interoperabilidad. Se busca retar el </w:t>
      </w:r>
      <w:r>
        <w:rPr>
          <w:rFonts w:ascii="Google Sans" w:eastAsia="Times New Roman" w:hAnsi="Google Sans" w:cs="Calibri"/>
          <w:b/>
          <w:bCs/>
          <w:i/>
          <w:iCs/>
          <w:color w:val="201F1E"/>
          <w:sz w:val="21"/>
          <w:szCs w:val="21"/>
          <w:lang w:val="es-MX"/>
        </w:rPr>
        <w:t>roadmap</w:t>
      </w:r>
      <w:r>
        <w:rPr>
          <w:rFonts w:ascii="Google Sans" w:eastAsia="Times New Roman" w:hAnsi="Google Sans" w:cs="Calibri"/>
          <w:b/>
          <w:bCs/>
          <w:color w:val="201F1E"/>
          <w:sz w:val="21"/>
          <w:szCs w:val="21"/>
          <w:lang w:val="es-MX"/>
        </w:rPr>
        <w:t> con la nueva información.</w:t>
      </w:r>
    </w:p>
    <w:p w14:paraId="34430BA9" w14:textId="77777777" w:rsidR="00FB2B9A" w:rsidRDefault="00FB2B9A">
      <w:pPr>
        <w:numPr>
          <w:ilvl w:val="1"/>
          <w:numId w:val="21"/>
        </w:numPr>
        <w:textAlignment w:val="center"/>
        <w:rPr>
          <w:rFonts w:ascii="Calibri" w:eastAsia="Times New Roman" w:hAnsi="Calibri" w:cs="Calibri"/>
          <w:b/>
          <w:bCs/>
          <w:color w:val="201F1E"/>
          <w:sz w:val="21"/>
          <w:szCs w:val="21"/>
          <w:lang w:val="es-MX"/>
        </w:rPr>
      </w:pPr>
      <w:r>
        <w:rPr>
          <w:rFonts w:ascii="Google Sans" w:eastAsia="Times New Roman" w:hAnsi="Google Sans" w:cs="Calibri"/>
          <w:b/>
          <w:bCs/>
          <w:color w:val="201F1E"/>
          <w:sz w:val="21"/>
          <w:szCs w:val="21"/>
          <w:lang w:val="es-MX"/>
        </w:rPr>
        <w:t xml:space="preserve">Otros Componentes a Evaluar: La evolución del </w:t>
      </w:r>
      <w:r>
        <w:rPr>
          <w:rFonts w:ascii="Google Sans" w:eastAsia="Times New Roman" w:hAnsi="Google Sans" w:cs="Calibri"/>
          <w:b/>
          <w:bCs/>
          <w:color w:val="201F1E"/>
          <w:sz w:val="21"/>
          <w:szCs w:val="21"/>
          <w:lang w:val="es-MX"/>
        </w:rPr>
        <w:t>modelo operativo, cómo UNITY habilita la visión de negocio de la estrategia 2030, el modelo de gestión del cambio y la revisión/replanteamiento del caso de negocio actual.</w:t>
      </w:r>
    </w:p>
    <w:p w14:paraId="0B23117D" w14:textId="77777777" w:rsidR="00FB2B9A" w:rsidRDefault="00FB2B9A">
      <w:pPr>
        <w:numPr>
          <w:ilvl w:val="1"/>
          <w:numId w:val="21"/>
        </w:numPr>
        <w:textAlignment w:val="center"/>
        <w:rPr>
          <w:rFonts w:ascii="Calibri" w:eastAsia="Times New Roman" w:hAnsi="Calibri" w:cs="Calibri"/>
          <w:b/>
          <w:bCs/>
          <w:color w:val="201F1E"/>
          <w:sz w:val="21"/>
          <w:szCs w:val="21"/>
          <w:lang w:val="es-MX"/>
        </w:rPr>
      </w:pPr>
      <w:r>
        <w:rPr>
          <w:rFonts w:ascii="Google Sans" w:eastAsia="Times New Roman" w:hAnsi="Google Sans" w:cs="Calibri"/>
          <w:b/>
          <w:bCs/>
          <w:color w:val="201F1E"/>
          <w:sz w:val="21"/>
          <w:szCs w:val="21"/>
          <w:lang w:val="es-MX"/>
        </w:rPr>
        <w:t>Líderes: Lucas y Pablo de Accenture.</w:t>
      </w:r>
    </w:p>
    <w:p w14:paraId="5B6299A3"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70ACE904"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b/>
          <w:bCs/>
          <w:color w:val="201F1E"/>
          <w:sz w:val="21"/>
          <w:szCs w:val="21"/>
          <w:lang w:val="es-MX"/>
        </w:rPr>
        <w:t>Proyectos Tecnológicos y Arquitectura</w:t>
      </w:r>
    </w:p>
    <w:p w14:paraId="34742063" w14:textId="77777777" w:rsidR="00FB2B9A" w:rsidRDefault="00FB2B9A">
      <w:pPr>
        <w:numPr>
          <w:ilvl w:val="0"/>
          <w:numId w:val="22"/>
        </w:numPr>
        <w:textAlignment w:val="center"/>
        <w:rPr>
          <w:rFonts w:ascii="Calibri" w:eastAsia="Times New Roman" w:hAnsi="Calibri" w:cs="Calibri"/>
          <w:color w:val="201F1E"/>
          <w:sz w:val="22"/>
          <w:szCs w:val="22"/>
          <w:lang w:val="es-MX"/>
        </w:rPr>
      </w:pPr>
      <w:r>
        <w:rPr>
          <w:rFonts w:ascii="Google Sans" w:eastAsia="Times New Roman" w:hAnsi="Google Sans" w:cs="Calibri"/>
          <w:color w:val="201F1E"/>
          <w:sz w:val="21"/>
          <w:szCs w:val="21"/>
          <w:lang w:val="es-MX"/>
        </w:rPr>
        <w:t>La arquitectura empresarial con Raúl ya ha definido los componentes.</w:t>
      </w:r>
    </w:p>
    <w:p w14:paraId="660B3906" w14:textId="77777777" w:rsidR="00FB2B9A" w:rsidRDefault="00FB2B9A">
      <w:pPr>
        <w:numPr>
          <w:ilvl w:val="0"/>
          <w:numId w:val="22"/>
        </w:numPr>
        <w:textAlignment w:val="center"/>
        <w:rPr>
          <w:rFonts w:ascii="Calibri" w:eastAsia="Times New Roman" w:hAnsi="Calibri" w:cs="Calibri"/>
          <w:color w:val="201F1E"/>
          <w:sz w:val="22"/>
          <w:szCs w:val="22"/>
          <w:lang w:val="es-MX"/>
        </w:rPr>
      </w:pPr>
      <w:r>
        <w:rPr>
          <w:rFonts w:ascii="Google Sans" w:eastAsia="Times New Roman" w:hAnsi="Google Sans" w:cs="Calibri"/>
          <w:color w:val="201F1E"/>
          <w:sz w:val="21"/>
          <w:szCs w:val="21"/>
          <w:lang w:val="es-MX"/>
        </w:rPr>
        <w:t>Debido a la necesidad de velocidad, se planea modernizar y revivir aplicaciones legadas para interconectar lo viejo con lo nuevo de forma moderna (interoperabilidad).</w:t>
      </w:r>
    </w:p>
    <w:p w14:paraId="57978AD2" w14:textId="77777777" w:rsidR="00FB2B9A" w:rsidRDefault="00FB2B9A">
      <w:pPr>
        <w:numPr>
          <w:ilvl w:val="0"/>
          <w:numId w:val="22"/>
        </w:numPr>
        <w:textAlignment w:val="center"/>
        <w:rPr>
          <w:rFonts w:ascii="Calibri" w:eastAsia="Times New Roman" w:hAnsi="Calibri" w:cs="Calibri"/>
          <w:color w:val="201F1E"/>
          <w:sz w:val="22"/>
          <w:szCs w:val="22"/>
          <w:lang w:val="es-MX"/>
        </w:rPr>
      </w:pPr>
      <w:r>
        <w:rPr>
          <w:rFonts w:ascii="Google Sans" w:eastAsia="Times New Roman" w:hAnsi="Google Sans" w:cs="Calibri"/>
          <w:color w:val="201F1E"/>
          <w:sz w:val="21"/>
          <w:szCs w:val="21"/>
          <w:lang w:val="es-MX"/>
        </w:rPr>
        <w:t>Dos proyectos clave conviven con la arquitectura nueva y legada:</w:t>
      </w:r>
    </w:p>
    <w:p w14:paraId="6BB58CDA" w14:textId="77777777" w:rsidR="00FB2B9A" w:rsidRDefault="00FB2B9A">
      <w:pPr>
        <w:numPr>
          <w:ilvl w:val="1"/>
          <w:numId w:val="22"/>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Éxodos:</w:t>
      </w:r>
      <w:r>
        <w:rPr>
          <w:rFonts w:ascii="Google Sans" w:eastAsia="Times New Roman" w:hAnsi="Google Sans" w:cs="Calibri"/>
          <w:color w:val="201F1E"/>
          <w:sz w:val="21"/>
          <w:szCs w:val="21"/>
          <w:lang w:val="es-MX"/>
        </w:rPr>
        <w:t> Permite migrar funcionalidades existentes a la nube y modernizar aplicaciones legadas.</w:t>
      </w:r>
    </w:p>
    <w:p w14:paraId="2EE97CFC" w14:textId="77777777" w:rsidR="00FB2B9A" w:rsidRDefault="00FB2B9A">
      <w:pPr>
        <w:numPr>
          <w:ilvl w:val="1"/>
          <w:numId w:val="22"/>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Atlas:</w:t>
      </w:r>
      <w:r>
        <w:rPr>
          <w:rFonts w:ascii="Google Sans" w:eastAsia="Times New Roman" w:hAnsi="Google Sans" w:cs="Calibri"/>
          <w:color w:val="201F1E"/>
          <w:sz w:val="21"/>
          <w:szCs w:val="21"/>
          <w:lang w:val="es-MX"/>
        </w:rPr>
        <w:t> Proyecto grande de datos, enfocado en la base de datos de clientes.</w:t>
      </w:r>
    </w:p>
    <w:p w14:paraId="4E6C97B4" w14:textId="77777777" w:rsidR="00FB2B9A" w:rsidRDefault="00FB2B9A">
      <w:pPr>
        <w:numPr>
          <w:ilvl w:val="0"/>
          <w:numId w:val="22"/>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Reto:</w:t>
      </w:r>
      <w:r>
        <w:rPr>
          <w:rFonts w:ascii="Google Sans" w:eastAsia="Times New Roman" w:hAnsi="Google Sans" w:cs="Calibri"/>
          <w:color w:val="201F1E"/>
          <w:sz w:val="21"/>
          <w:szCs w:val="21"/>
          <w:lang w:val="es-MX"/>
        </w:rPr>
        <w:t> </w:t>
      </w:r>
      <w:r>
        <w:rPr>
          <w:rFonts w:ascii="Google Sans" w:eastAsia="Times New Roman" w:hAnsi="Google Sans" w:cs="Calibri"/>
          <w:color w:val="201F1E"/>
          <w:sz w:val="21"/>
          <w:szCs w:val="21"/>
          <w:lang w:val="es-MX"/>
        </w:rPr>
        <w:t>Arcadio Delgado Iturriaga debe validar y supervisar que las mejoras (</w:t>
      </w:r>
      <w:r>
        <w:rPr>
          <w:rFonts w:ascii="Google Sans" w:eastAsia="Times New Roman" w:hAnsi="Google Sans" w:cs="Calibri"/>
          <w:i/>
          <w:iCs/>
          <w:color w:val="201F1E"/>
          <w:sz w:val="21"/>
          <w:szCs w:val="21"/>
          <w:lang w:val="es-MX"/>
        </w:rPr>
        <w:t>Spain</w:t>
      </w:r>
      <w:r>
        <w:rPr>
          <w:rFonts w:ascii="Google Sans" w:eastAsia="Times New Roman" w:hAnsi="Google Sans" w:cs="Calibri"/>
          <w:color w:val="201F1E"/>
          <w:sz w:val="21"/>
          <w:szCs w:val="21"/>
          <w:lang w:val="es-MX"/>
        </w:rPr>
        <w:t>, autorizador, alta de clientes, biométricos) convivan con UNITY sin replicar ni rehacer esfuerzos.</w:t>
      </w:r>
    </w:p>
    <w:p w14:paraId="3704AB29"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49270468"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b/>
          <w:bCs/>
          <w:color w:val="201F1E"/>
          <w:sz w:val="21"/>
          <w:szCs w:val="21"/>
          <w:lang w:val="es-MX"/>
        </w:rPr>
        <w:t>Equipo Involucrado</w:t>
      </w:r>
    </w:p>
    <w:p w14:paraId="78E0F2AD" w14:textId="77777777" w:rsidR="00FB2B9A" w:rsidRDefault="00FB2B9A">
      <w:pPr>
        <w:numPr>
          <w:ilvl w:val="0"/>
          <w:numId w:val="23"/>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Líderes del Programa/Accenture:</w:t>
      </w:r>
      <w:r>
        <w:rPr>
          <w:rFonts w:ascii="Google Sans" w:eastAsia="Times New Roman" w:hAnsi="Google Sans" w:cs="Calibri"/>
          <w:color w:val="201F1E"/>
          <w:sz w:val="21"/>
          <w:szCs w:val="21"/>
          <w:lang w:val="es-MX"/>
        </w:rPr>
        <w:t> Salomón Monroy (Accenture), Alonso García (Gobierno), Lucas y Pablo (Estrategia Tecnológica).</w:t>
      </w:r>
    </w:p>
    <w:p w14:paraId="68CAE270" w14:textId="77777777" w:rsidR="00FB2B9A" w:rsidRDefault="00FB2B9A">
      <w:pPr>
        <w:numPr>
          <w:ilvl w:val="0"/>
          <w:numId w:val="23"/>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Conexión con Operaciones (AMS/IMS):</w:t>
      </w:r>
      <w:r>
        <w:rPr>
          <w:rFonts w:ascii="Google Sans" w:eastAsia="Times New Roman" w:hAnsi="Google Sans" w:cs="Calibri"/>
          <w:color w:val="201F1E"/>
          <w:sz w:val="21"/>
          <w:szCs w:val="21"/>
          <w:lang w:val="es-MX"/>
        </w:rPr>
        <w:t> Gabriela Maximiliano, Alejandro Gallegos y Alfredo García.</w:t>
      </w:r>
    </w:p>
    <w:p w14:paraId="4A5DCBD0" w14:textId="77777777" w:rsidR="00FB2B9A" w:rsidRDefault="00FB2B9A">
      <w:pPr>
        <w:numPr>
          <w:ilvl w:val="0"/>
          <w:numId w:val="23"/>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Expertos Adicionales de Core Bancario:</w:t>
      </w:r>
      <w:r>
        <w:rPr>
          <w:rFonts w:ascii="Google Sans" w:eastAsia="Times New Roman" w:hAnsi="Google Sans" w:cs="Calibri"/>
          <w:color w:val="201F1E"/>
          <w:sz w:val="21"/>
          <w:szCs w:val="21"/>
          <w:lang w:val="es-MX"/>
        </w:rPr>
        <w:t> José Luis Navas (Jefe Global de </w:t>
      </w:r>
      <w:r>
        <w:rPr>
          <w:rFonts w:ascii="Google Sans" w:eastAsia="Times New Roman" w:hAnsi="Google Sans" w:cs="Calibri"/>
          <w:i/>
          <w:iCs/>
          <w:color w:val="201F1E"/>
          <w:sz w:val="21"/>
          <w:szCs w:val="21"/>
          <w:lang w:val="es-MX"/>
        </w:rPr>
        <w:t>Core Banking</w:t>
      </w:r>
      <w:r>
        <w:rPr>
          <w:rFonts w:ascii="Google Sans" w:eastAsia="Times New Roman" w:hAnsi="Google Sans" w:cs="Calibri"/>
          <w:color w:val="201F1E"/>
          <w:sz w:val="21"/>
          <w:szCs w:val="21"/>
          <w:lang w:val="es-MX"/>
        </w:rPr>
        <w:t> de Accenture) y Pavel Bilowski (experto en Temenos).</w:t>
      </w:r>
    </w:p>
    <w:p w14:paraId="0B60BE56" w14:textId="77777777" w:rsidR="00FB2B9A" w:rsidRDefault="00FB2B9A">
      <w:pPr>
        <w:numPr>
          <w:ilvl w:val="0"/>
          <w:numId w:val="23"/>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Socios Tecnológicos (E&amp;Y):</w:t>
      </w:r>
      <w:r>
        <w:rPr>
          <w:rFonts w:ascii="Google Sans" w:eastAsia="Times New Roman" w:hAnsi="Google Sans" w:cs="Calibri"/>
          <w:color w:val="201F1E"/>
          <w:sz w:val="21"/>
          <w:szCs w:val="21"/>
          <w:lang w:val="es-MX"/>
        </w:rPr>
        <w:t> Angélica (EY) Temenos, BPC y Kreyos.</w:t>
      </w:r>
    </w:p>
    <w:p w14:paraId="19729F91" w14:textId="77777777" w:rsidR="00FB2B9A" w:rsidRDefault="00FB2B9A">
      <w:pPr>
        <w:numPr>
          <w:ilvl w:val="0"/>
          <w:numId w:val="23"/>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Áreas de Grupo Coppel:</w:t>
      </w:r>
      <w:r>
        <w:rPr>
          <w:rFonts w:ascii="Google Sans" w:eastAsia="Times New Roman" w:hAnsi="Google Sans" w:cs="Calibri"/>
          <w:color w:val="201F1E"/>
          <w:sz w:val="21"/>
          <w:szCs w:val="21"/>
          <w:lang w:val="es-MX"/>
        </w:rPr>
        <w:t> Juan Manuel Fernández, Sergio, David Ruelas (Director de Riesgos), Rogelio Aguayo (Director de Operaciones), y Teresa González Navarro. El equipo incluye las verticales de Transac, Apolo, y Smart Vista.</w:t>
      </w:r>
    </w:p>
    <w:p w14:paraId="5D604B9A"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52412930"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b/>
          <w:bCs/>
          <w:color w:val="201F1E"/>
          <w:sz w:val="21"/>
          <w:szCs w:val="21"/>
          <w:lang w:val="es-MX"/>
        </w:rPr>
        <w:t>Cadencia y Requerimientos</w:t>
      </w:r>
    </w:p>
    <w:p w14:paraId="28D5F2E7" w14:textId="77777777" w:rsidR="00FB2B9A" w:rsidRDefault="00FB2B9A">
      <w:pPr>
        <w:numPr>
          <w:ilvl w:val="0"/>
          <w:numId w:val="24"/>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Cadencias Semanales:</w:t>
      </w:r>
      <w:r>
        <w:rPr>
          <w:rFonts w:ascii="Google Sans" w:eastAsia="Times New Roman" w:hAnsi="Google Sans" w:cs="Calibri"/>
          <w:color w:val="201F1E"/>
          <w:sz w:val="21"/>
          <w:szCs w:val="21"/>
          <w:lang w:val="es-MX"/>
        </w:rPr>
        <w:t> Se tendrán </w:t>
      </w:r>
      <w:r>
        <w:rPr>
          <w:rFonts w:ascii="Google Sans" w:eastAsia="Times New Roman" w:hAnsi="Google Sans" w:cs="Calibri"/>
          <w:i/>
          <w:iCs/>
          <w:color w:val="201F1E"/>
          <w:sz w:val="21"/>
          <w:szCs w:val="21"/>
          <w:lang w:val="es-MX"/>
        </w:rPr>
        <w:t>Dailys</w:t>
      </w:r>
      <w:r>
        <w:rPr>
          <w:rFonts w:ascii="Google Sans" w:eastAsia="Times New Roman" w:hAnsi="Google Sans" w:cs="Calibri"/>
          <w:color w:val="201F1E"/>
          <w:sz w:val="21"/>
          <w:szCs w:val="21"/>
          <w:lang w:val="es-MX"/>
        </w:rPr>
        <w:t> con el equipo táctico y se usará un espacio en el </w:t>
      </w:r>
      <w:r>
        <w:rPr>
          <w:rFonts w:ascii="Google Sans" w:eastAsia="Times New Roman" w:hAnsi="Google Sans" w:cs="Calibri"/>
          <w:i/>
          <w:iCs/>
          <w:color w:val="201F1E"/>
          <w:sz w:val="21"/>
          <w:szCs w:val="21"/>
          <w:lang w:val="es-MX"/>
        </w:rPr>
        <w:t>Weekly</w:t>
      </w:r>
      <w:r>
        <w:rPr>
          <w:rFonts w:ascii="Google Sans" w:eastAsia="Times New Roman" w:hAnsi="Google Sans" w:cs="Calibri"/>
          <w:color w:val="201F1E"/>
          <w:sz w:val="21"/>
          <w:szCs w:val="21"/>
          <w:lang w:val="es-MX"/>
        </w:rPr>
        <w:t> del plan UNITY (los miércoles) para dar estatus de la aceleración.</w:t>
      </w:r>
    </w:p>
    <w:p w14:paraId="32D440F1" w14:textId="77777777" w:rsidR="00FB2B9A" w:rsidRDefault="00FB2B9A">
      <w:pPr>
        <w:numPr>
          <w:ilvl w:val="0"/>
          <w:numId w:val="24"/>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Sesiones de Liderazgo:</w:t>
      </w:r>
      <w:r>
        <w:rPr>
          <w:rFonts w:ascii="Google Sans" w:eastAsia="Times New Roman" w:hAnsi="Google Sans" w:cs="Calibri"/>
          <w:color w:val="201F1E"/>
          <w:sz w:val="21"/>
          <w:szCs w:val="21"/>
          <w:lang w:val="es-MX"/>
        </w:rPr>
        <w:t> Habrá tres sesiones separadas con Juan Manuel Fernández y el liderazgo (al final de esta semana, en dos semanas más y al final de las seis semanas).</w:t>
      </w:r>
    </w:p>
    <w:p w14:paraId="13CC19CC" w14:textId="77777777" w:rsidR="00FB2B9A" w:rsidRDefault="00FB2B9A">
      <w:pPr>
        <w:numPr>
          <w:ilvl w:val="0"/>
          <w:numId w:val="24"/>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Presentación de Resultados:</w:t>
      </w:r>
      <w:r>
        <w:rPr>
          <w:rFonts w:ascii="Google Sans" w:eastAsia="Times New Roman" w:hAnsi="Google Sans" w:cs="Calibri"/>
          <w:color w:val="201F1E"/>
          <w:sz w:val="21"/>
          <w:szCs w:val="21"/>
          <w:lang w:val="es-MX"/>
        </w:rPr>
        <w:t> Teresa González Navarro acordó que los resultados de esta fase se presentarán en el comité quincenal con Carlos.</w:t>
      </w:r>
    </w:p>
    <w:p w14:paraId="18065C16" w14:textId="77777777" w:rsidR="00FB2B9A" w:rsidRDefault="00FB2B9A">
      <w:pPr>
        <w:numPr>
          <w:ilvl w:val="0"/>
          <w:numId w:val="24"/>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Peticiones al Equipo:</w:t>
      </w:r>
      <w:r>
        <w:rPr>
          <w:rFonts w:ascii="Google Sans" w:eastAsia="Times New Roman" w:hAnsi="Google Sans" w:cs="Calibri"/>
          <w:color w:val="201F1E"/>
          <w:sz w:val="21"/>
          <w:szCs w:val="21"/>
          <w:lang w:val="es-MX"/>
        </w:rPr>
        <w:t> Se solicitó apertura y transparencia con la documentación, así como disponibilidad para las sesiones de trabajo aceleradas. Se enfatizó la necesidad de usar herramientas como Gemini, repositorios y Notebooks para crear la base de conocimiento rápidamente.</w:t>
      </w:r>
    </w:p>
    <w:p w14:paraId="47077B94" w14:textId="77777777" w:rsidR="00FB2B9A" w:rsidRDefault="00FB2B9A">
      <w:pPr>
        <w:pStyle w:val="NormalWeb"/>
        <w:spacing w:before="0" w:beforeAutospacing="0" w:after="0" w:afterAutospacing="0"/>
        <w:rPr>
          <w:rFonts w:ascii="Calibri" w:hAnsi="Calibri" w:cs="Calibri"/>
          <w:color w:val="201F1E"/>
          <w:sz w:val="21"/>
          <w:szCs w:val="21"/>
          <w:lang w:val="es-MX"/>
        </w:rPr>
      </w:pPr>
      <w:r>
        <w:rPr>
          <w:rFonts w:ascii="Calibri" w:hAnsi="Calibri" w:cs="Calibri"/>
          <w:color w:val="201F1E"/>
          <w:sz w:val="21"/>
          <w:szCs w:val="21"/>
          <w:lang w:val="es-MX"/>
        </w:rPr>
        <w:t> </w:t>
      </w:r>
    </w:p>
    <w:p w14:paraId="051CB077" w14:textId="77777777" w:rsidR="00FB2B9A" w:rsidRDefault="00FB2B9A">
      <w:pPr>
        <w:pStyle w:val="NormalWeb"/>
        <w:spacing w:before="0" w:beforeAutospacing="0" w:after="0" w:afterAutospacing="0"/>
        <w:rPr>
          <w:rFonts w:ascii="Google Sans" w:hAnsi="Google Sans" w:cs="Calibri"/>
          <w:color w:val="201F1E"/>
          <w:sz w:val="21"/>
          <w:szCs w:val="21"/>
          <w:lang w:val="es-MX"/>
        </w:rPr>
      </w:pPr>
      <w:r>
        <w:rPr>
          <w:rFonts w:ascii="Google Sans" w:hAnsi="Google Sans" w:cs="Calibri"/>
          <w:b/>
          <w:bCs/>
          <w:color w:val="201F1E"/>
          <w:sz w:val="21"/>
          <w:szCs w:val="21"/>
          <w:lang w:val="es-MX"/>
        </w:rPr>
        <w:t>Mensajes Clave y Llamado a la Acción</w:t>
      </w:r>
    </w:p>
    <w:p w14:paraId="38AA7496" w14:textId="77777777" w:rsidR="00FB2B9A" w:rsidRDefault="00FB2B9A">
      <w:pPr>
        <w:numPr>
          <w:ilvl w:val="0"/>
          <w:numId w:val="25"/>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Santiago Ontanon</w:t>
      </w:r>
      <w:r>
        <w:rPr>
          <w:rFonts w:ascii="Google Sans" w:eastAsia="Times New Roman" w:hAnsi="Google Sans" w:cs="Calibri"/>
          <w:color w:val="201F1E"/>
          <w:sz w:val="21"/>
          <w:szCs w:val="21"/>
          <w:lang w:val="es-MX"/>
        </w:rPr>
        <w:t> </w:t>
      </w:r>
      <w:r>
        <w:rPr>
          <w:rFonts w:ascii="Google Sans" w:eastAsia="Times New Roman" w:hAnsi="Google Sans" w:cs="Calibri"/>
          <w:color w:val="201F1E"/>
          <w:sz w:val="21"/>
          <w:szCs w:val="21"/>
          <w:lang w:val="es-MX"/>
        </w:rPr>
        <w:t>compartió una anécdota de fútbol (Brasil vs. Rusia 1970) para enfatizar la necesidad de "abrazar la incertidumbre" y que los planes deben adaptarse al entorno.</w:t>
      </w:r>
    </w:p>
    <w:p w14:paraId="7E477089" w14:textId="77777777" w:rsidR="00FB2B9A" w:rsidRDefault="00FB2B9A">
      <w:pPr>
        <w:numPr>
          <w:ilvl w:val="0"/>
          <w:numId w:val="25"/>
        </w:numPr>
        <w:textAlignment w:val="center"/>
        <w:rPr>
          <w:rFonts w:ascii="Calibri" w:eastAsia="Times New Roman" w:hAnsi="Calibri" w:cs="Calibri"/>
          <w:color w:val="201F1E"/>
          <w:sz w:val="22"/>
          <w:szCs w:val="22"/>
          <w:lang w:val="es-MX"/>
        </w:rPr>
      </w:pPr>
      <w:r>
        <w:rPr>
          <w:rFonts w:ascii="Google Sans" w:eastAsia="Times New Roman" w:hAnsi="Google Sans" w:cs="Calibri"/>
          <w:color w:val="201F1E"/>
          <w:sz w:val="21"/>
          <w:szCs w:val="21"/>
          <w:lang w:val="es-MX"/>
        </w:rPr>
        <w:t>Instó a los participantes a </w:t>
      </w:r>
      <w:r>
        <w:rPr>
          <w:rFonts w:ascii="Google Sans" w:eastAsia="Times New Roman" w:hAnsi="Google Sans" w:cs="Calibri"/>
          <w:b/>
          <w:bCs/>
          <w:color w:val="201F1E"/>
          <w:sz w:val="21"/>
          <w:szCs w:val="21"/>
          <w:lang w:val="es-MX"/>
        </w:rPr>
        <w:t>no detenerse ante los obstáculos</w:t>
      </w:r>
      <w:r>
        <w:rPr>
          <w:rFonts w:ascii="Google Sans" w:eastAsia="Times New Roman" w:hAnsi="Google Sans" w:cs="Calibri"/>
          <w:color w:val="201F1E"/>
          <w:sz w:val="21"/>
          <w:szCs w:val="21"/>
          <w:lang w:val="es-MX"/>
        </w:rPr>
        <w:t> (ej. falta de accesos de seguridad) y a "hacerla de tos" con la misma urgencia que si no les hubieran pagado la nómina. Su tiempo se dedica principalmente a "derrumbar obstáculos".</w:t>
      </w:r>
    </w:p>
    <w:p w14:paraId="15B53401" w14:textId="77777777" w:rsidR="00FB2B9A" w:rsidRDefault="00FB2B9A">
      <w:pPr>
        <w:numPr>
          <w:ilvl w:val="0"/>
          <w:numId w:val="25"/>
        </w:numPr>
        <w:textAlignment w:val="center"/>
        <w:rPr>
          <w:rFonts w:ascii="Calibri" w:eastAsia="Times New Roman" w:hAnsi="Calibri" w:cs="Calibri"/>
          <w:color w:val="201F1E"/>
          <w:sz w:val="22"/>
          <w:szCs w:val="22"/>
          <w:lang w:val="es-MX"/>
        </w:rPr>
      </w:pPr>
      <w:r>
        <w:rPr>
          <w:rFonts w:ascii="Google Sans" w:eastAsia="Times New Roman" w:hAnsi="Google Sans" w:cs="Calibri"/>
          <w:b/>
          <w:bCs/>
          <w:color w:val="201F1E"/>
          <w:sz w:val="21"/>
          <w:szCs w:val="21"/>
          <w:lang w:val="es-MX"/>
        </w:rPr>
        <w:t>Arcadio Delgado Iturriaga</w:t>
      </w:r>
      <w:r>
        <w:rPr>
          <w:rFonts w:ascii="Google Sans" w:eastAsia="Times New Roman" w:hAnsi="Google Sans" w:cs="Calibri"/>
          <w:color w:val="201F1E"/>
          <w:sz w:val="21"/>
          <w:szCs w:val="21"/>
          <w:lang w:val="es-MX"/>
        </w:rPr>
        <w:t> pidió al equipo de Accenture buscar sinergias con las directrices de arquitectura que ya están revisando internamente para acelerar las necesidades a corto y mediano plazo y asegurar la alineación.</w:t>
      </w:r>
    </w:p>
    <w:sectPr w:rsidR="000000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oogle Sans">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D2BE5"/>
    <w:multiLevelType w:val="multilevel"/>
    <w:tmpl w:val="4C86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5F1FAB"/>
    <w:multiLevelType w:val="multilevel"/>
    <w:tmpl w:val="2D4E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6C428D"/>
    <w:multiLevelType w:val="multilevel"/>
    <w:tmpl w:val="97E4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F35900"/>
    <w:multiLevelType w:val="multilevel"/>
    <w:tmpl w:val="508A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EC7581"/>
    <w:multiLevelType w:val="multilevel"/>
    <w:tmpl w:val="6296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606AC5"/>
    <w:multiLevelType w:val="multilevel"/>
    <w:tmpl w:val="B24A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820546"/>
    <w:multiLevelType w:val="multilevel"/>
    <w:tmpl w:val="F466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8C1F91"/>
    <w:multiLevelType w:val="multilevel"/>
    <w:tmpl w:val="6972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A827F4"/>
    <w:multiLevelType w:val="multilevel"/>
    <w:tmpl w:val="EA2A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F01B56"/>
    <w:multiLevelType w:val="multilevel"/>
    <w:tmpl w:val="EB5A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7E502F"/>
    <w:multiLevelType w:val="multilevel"/>
    <w:tmpl w:val="AAB4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7417F2"/>
    <w:multiLevelType w:val="multilevel"/>
    <w:tmpl w:val="8E664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B576EF"/>
    <w:multiLevelType w:val="multilevel"/>
    <w:tmpl w:val="EEFA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6272BC"/>
    <w:multiLevelType w:val="multilevel"/>
    <w:tmpl w:val="D7964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7D1E69"/>
    <w:multiLevelType w:val="multilevel"/>
    <w:tmpl w:val="94D2E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B86060"/>
    <w:multiLevelType w:val="multilevel"/>
    <w:tmpl w:val="310A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0F0CDE"/>
    <w:multiLevelType w:val="multilevel"/>
    <w:tmpl w:val="C2A86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2D3E80"/>
    <w:multiLevelType w:val="multilevel"/>
    <w:tmpl w:val="DA3A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A545DC"/>
    <w:multiLevelType w:val="multilevel"/>
    <w:tmpl w:val="BB1A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B53D67"/>
    <w:multiLevelType w:val="multilevel"/>
    <w:tmpl w:val="CF1038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38482A"/>
    <w:multiLevelType w:val="multilevel"/>
    <w:tmpl w:val="768A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0C16D5"/>
    <w:multiLevelType w:val="multilevel"/>
    <w:tmpl w:val="6244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E10989"/>
    <w:multiLevelType w:val="multilevel"/>
    <w:tmpl w:val="CDB0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5649B9"/>
    <w:multiLevelType w:val="multilevel"/>
    <w:tmpl w:val="EB1C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B622BF2"/>
    <w:multiLevelType w:val="multilevel"/>
    <w:tmpl w:val="231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5399416">
    <w:abstractNumId w:val="22"/>
  </w:num>
  <w:num w:numId="2" w16cid:durableId="1086803548">
    <w:abstractNumId w:val="3"/>
  </w:num>
  <w:num w:numId="3" w16cid:durableId="95563032">
    <w:abstractNumId w:val="20"/>
  </w:num>
  <w:num w:numId="4" w16cid:durableId="1403717484">
    <w:abstractNumId w:val="8"/>
  </w:num>
  <w:num w:numId="5" w16cid:durableId="89081301">
    <w:abstractNumId w:val="21"/>
  </w:num>
  <w:num w:numId="6" w16cid:durableId="358818641">
    <w:abstractNumId w:val="18"/>
  </w:num>
  <w:num w:numId="7" w16cid:durableId="307322531">
    <w:abstractNumId w:val="2"/>
  </w:num>
  <w:num w:numId="8" w16cid:durableId="1934240666">
    <w:abstractNumId w:val="16"/>
  </w:num>
  <w:num w:numId="9" w16cid:durableId="494806218">
    <w:abstractNumId w:val="24"/>
  </w:num>
  <w:num w:numId="10" w16cid:durableId="1565678121">
    <w:abstractNumId w:val="1"/>
  </w:num>
  <w:num w:numId="11" w16cid:durableId="1092438324">
    <w:abstractNumId w:val="4"/>
  </w:num>
  <w:num w:numId="12" w16cid:durableId="736515870">
    <w:abstractNumId w:val="7"/>
  </w:num>
  <w:num w:numId="13" w16cid:durableId="229002777">
    <w:abstractNumId w:val="23"/>
  </w:num>
  <w:num w:numId="14" w16cid:durableId="654988285">
    <w:abstractNumId w:val="14"/>
  </w:num>
  <w:num w:numId="15" w16cid:durableId="298462489">
    <w:abstractNumId w:val="19"/>
  </w:num>
  <w:num w:numId="16" w16cid:durableId="591400547">
    <w:abstractNumId w:val="15"/>
  </w:num>
  <w:num w:numId="17" w16cid:durableId="2025279550">
    <w:abstractNumId w:val="6"/>
  </w:num>
  <w:num w:numId="18" w16cid:durableId="1708287195">
    <w:abstractNumId w:val="10"/>
  </w:num>
  <w:num w:numId="19" w16cid:durableId="1536113231">
    <w:abstractNumId w:val="17"/>
  </w:num>
  <w:num w:numId="20" w16cid:durableId="996810928">
    <w:abstractNumId w:val="12"/>
  </w:num>
  <w:num w:numId="21" w16cid:durableId="1908027915">
    <w:abstractNumId w:val="11"/>
    <w:lvlOverride w:ilvl="0">
      <w:startOverride w:val="1"/>
    </w:lvlOverride>
  </w:num>
  <w:num w:numId="22" w16cid:durableId="324238191">
    <w:abstractNumId w:val="13"/>
  </w:num>
  <w:num w:numId="23" w16cid:durableId="1839464971">
    <w:abstractNumId w:val="9"/>
  </w:num>
  <w:num w:numId="24" w16cid:durableId="849174621">
    <w:abstractNumId w:val="5"/>
  </w:num>
  <w:num w:numId="25" w16cid:durableId="791826175">
    <w:abstractNumId w:val="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2B9A"/>
    <w:rsid w:val="001B57D7"/>
    <w:rsid w:val="00FB2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23F715"/>
  <w15:chartTrackingRefBased/>
  <w15:docId w15:val="{99264D2D-065D-41C8-8D90-853ACC52C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82897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FC7D87AE-3839-4664-857C-49F5F87DABD3}"/>
</file>

<file path=customXml/itemProps2.xml><?xml version="1.0" encoding="utf-8"?>
<ds:datastoreItem xmlns:ds="http://schemas.openxmlformats.org/officeDocument/2006/customXml" ds:itemID="{C6C9D440-EFF4-4C1F-B237-AD72776A9BAA}"/>
</file>

<file path=customXml/itemProps3.xml><?xml version="1.0" encoding="utf-8"?>
<ds:datastoreItem xmlns:ds="http://schemas.openxmlformats.org/officeDocument/2006/customXml" ds:itemID="{47886739-1E45-43B1-8329-ABD010F1E40E}"/>
</file>

<file path=docProps/app.xml><?xml version="1.0" encoding="utf-8"?>
<Properties xmlns="http://schemas.openxmlformats.org/officeDocument/2006/extended-properties" xmlns:vt="http://schemas.openxmlformats.org/officeDocument/2006/docPropsVTypes">
  <Template>Normal</Template>
  <TotalTime>0</TotalTime>
  <Pages>3</Pages>
  <Words>2835</Words>
  <Characters>16162</Characters>
  <Application>Microsoft Office Word</Application>
  <DocSecurity>0</DocSecurity>
  <Lines>134</Lines>
  <Paragraphs>37</Paragraphs>
  <ScaleCrop>false</ScaleCrop>
  <Company/>
  <LinksUpToDate>false</LinksUpToDate>
  <CharactersWithSpaces>18960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2</cp:revision>
  <dcterms:created xsi:type="dcterms:W3CDTF">2026-04-09T15:42:00Z</dcterms:created>
  <dcterms:modified xsi:type="dcterms:W3CDTF">2026-04-09T15:42:00Z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