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C9C7" w14:textId="77777777" w:rsidR="009B5575" w:rsidRDefault="008301FF" w:rsidP="008301FF">
      <w:pPr>
        <w:rPr>
          <w:b/>
          <w:bCs/>
          <w:lang w:val="es-ES_tradnl"/>
        </w:rPr>
      </w:pPr>
      <w:r w:rsidRPr="008301FF">
        <w:rPr>
          <w:b/>
          <w:bCs/>
          <w:lang w:val="es-ES_tradnl"/>
        </w:rPr>
        <w:t>Minutas Detalladas</w:t>
      </w:r>
    </w:p>
    <w:p w14:paraId="4F1EB9FA" w14:textId="0E74C2CC" w:rsidR="008301FF" w:rsidRPr="008301FF" w:rsidRDefault="008301FF" w:rsidP="008301FF">
      <w:pPr>
        <w:rPr>
          <w:lang w:val="es-ES_tradnl"/>
        </w:rPr>
      </w:pPr>
      <w:r w:rsidRPr="008301FF">
        <w:rPr>
          <w:lang w:val="es-ES_tradnl"/>
        </w:rPr>
        <w:t>ACN | Aceleración Plan Director | BPC: Arquitectura, Alcance y Principios</w:t>
      </w:r>
      <w:r w:rsidRPr="008301FF">
        <w:rPr>
          <w:lang w:val="es-ES_tradnl"/>
        </w:rPr>
        <w:br/>
      </w:r>
      <w:r w:rsidRPr="008301FF">
        <w:rPr>
          <w:lang w:val="es-ES_tradnl"/>
        </w:rPr>
        <w:br/>
      </w:r>
      <w:r w:rsidRPr="008301FF">
        <w:rPr>
          <w:b/>
          <w:bCs/>
          <w:lang w:val="es-ES_tradnl"/>
        </w:rPr>
        <w:t>Fecha:</w:t>
      </w:r>
      <w:r w:rsidRPr="008301FF">
        <w:rPr>
          <w:lang w:val="es-ES_tradnl"/>
        </w:rPr>
        <w:t> 7 abr 2026</w:t>
      </w:r>
      <w:r w:rsidRPr="008301FF">
        <w:rPr>
          <w:lang w:val="es-ES_tradnl"/>
        </w:rPr>
        <w:br/>
      </w:r>
      <w:r w:rsidRPr="008301FF">
        <w:rPr>
          <w:lang w:val="es-ES_tradnl"/>
        </w:rPr>
        <w:br/>
        <w:t>La reunión se centró en la revisión de la arquitectura de Smart Vista, el alcance del producto, los desafíos de convivencia con sistemas legados y la estrategia de migración de la Tarjeta de Crédito (TDC).I. Resumen Ejecutivo</w:t>
      </w:r>
      <w:r w:rsidRPr="008301FF">
        <w:rPr>
          <w:lang w:val="es-ES_tradnl"/>
        </w:rPr>
        <w:br/>
      </w:r>
      <w:r w:rsidRPr="008301FF">
        <w:rPr>
          <w:lang w:val="es-ES_tradnl"/>
        </w:rPr>
        <w:br/>
        <w:t>La revisión de arquitectura de Smart Vista se inició formalmente con el plan maestro de con el objetivo de identificar factores bloqueantes y brechas funcionales y técnicas futuras. Los principales hallazgos están siendo gestionados con el proveedor BPC para su documentación y remediación continua.</w:t>
      </w:r>
    </w:p>
    <w:p w14:paraId="68D17E9D" w14:textId="77777777" w:rsidR="008301FF" w:rsidRPr="008301FF" w:rsidRDefault="008301FF" w:rsidP="008301FF">
      <w:pPr>
        <w:numPr>
          <w:ilvl w:val="0"/>
          <w:numId w:val="11"/>
        </w:numPr>
        <w:rPr>
          <w:lang w:val="es-ES_tradnl"/>
        </w:rPr>
      </w:pPr>
      <w:r w:rsidRPr="008301FF">
        <w:rPr>
          <w:b/>
          <w:bCs/>
          <w:lang w:val="es-ES_tradnl"/>
        </w:rPr>
        <w:t>Alcance del Producto:</w:t>
      </w:r>
      <w:r w:rsidRPr="008301FF">
        <w:rPr>
          <w:lang w:val="es-ES_tradnl"/>
        </w:rPr>
        <w:t> El alcance inicial de 50 funcionalidades se ajustó a 19 funcionalidades esenciales para el lanzamiento al mercado abierto (R4).</w:t>
      </w:r>
    </w:p>
    <w:p w14:paraId="47F34239" w14:textId="77777777" w:rsidR="008301FF" w:rsidRPr="008301FF" w:rsidRDefault="008301FF" w:rsidP="008301FF">
      <w:pPr>
        <w:numPr>
          <w:ilvl w:val="0"/>
          <w:numId w:val="11"/>
        </w:numPr>
        <w:rPr>
          <w:lang w:val="es-ES_tradnl"/>
        </w:rPr>
      </w:pPr>
      <w:r w:rsidRPr="008301FF">
        <w:rPr>
          <w:b/>
          <w:bCs/>
          <w:lang w:val="es-ES_tradnl"/>
        </w:rPr>
        <w:t>Causas de Retrasos:</w:t>
      </w:r>
      <w:r w:rsidRPr="008301FF">
        <w:rPr>
          <w:lang w:val="es-ES_tradnl"/>
        </w:rPr>
        <w:t> Los retrasos se atribuyeron principalmente a la falta de definiciones de negocio claras y a la necesidad de replicar la lógica del sistema legado.</w:t>
      </w:r>
    </w:p>
    <w:p w14:paraId="5A4061D7" w14:textId="77777777" w:rsidR="008301FF" w:rsidRPr="008301FF" w:rsidRDefault="008301FF" w:rsidP="008301FF">
      <w:pPr>
        <w:numPr>
          <w:ilvl w:val="0"/>
          <w:numId w:val="11"/>
        </w:numPr>
        <w:rPr>
          <w:lang w:val="es-ES_tradnl"/>
        </w:rPr>
      </w:pPr>
      <w:r w:rsidRPr="008301FF">
        <w:rPr>
          <w:b/>
          <w:bCs/>
          <w:lang w:val="es-ES_tradnl"/>
        </w:rPr>
        <w:t>Estrategia de Migración:</w:t>
      </w:r>
      <w:r w:rsidRPr="008301FF">
        <w:rPr>
          <w:lang w:val="es-ES_tradnl"/>
        </w:rPr>
        <w:t xml:space="preserve"> La migración se planifica en 4 olas después del </w:t>
      </w:r>
      <w:proofErr w:type="spellStart"/>
      <w:r w:rsidRPr="008301FF">
        <w:rPr>
          <w:lang w:val="es-ES_tradnl"/>
        </w:rPr>
        <w:t>Release</w:t>
      </w:r>
      <w:proofErr w:type="spellEnd"/>
      <w:r w:rsidRPr="008301FF">
        <w:rPr>
          <w:lang w:val="es-ES_tradnl"/>
        </w:rPr>
        <w:t xml:space="preserve"> 4 (R4) para asegurar que la información del cliente no se divida. La migración completa del portafolio del producto clásico se proyecta para 2027, dependiendo de la implementación de precondiciones esenciales como el </w:t>
      </w:r>
      <w:proofErr w:type="spellStart"/>
      <w:r w:rsidRPr="008301FF">
        <w:rPr>
          <w:lang w:val="es-ES_tradnl"/>
        </w:rPr>
        <w:t>preautorizador</w:t>
      </w:r>
      <w:proofErr w:type="spellEnd"/>
      <w:r w:rsidRPr="008301FF">
        <w:rPr>
          <w:lang w:val="es-ES_tradnl"/>
        </w:rPr>
        <w:t xml:space="preserve"> y la detención de la </w:t>
      </w:r>
      <w:proofErr w:type="spellStart"/>
      <w:r w:rsidRPr="008301FF">
        <w:rPr>
          <w:lang w:val="es-ES_tradnl"/>
        </w:rPr>
        <w:t>originación</w:t>
      </w:r>
      <w:proofErr w:type="spellEnd"/>
      <w:r w:rsidRPr="008301FF">
        <w:rPr>
          <w:lang w:val="es-ES_tradnl"/>
        </w:rPr>
        <w:t xml:space="preserve"> en PISA.</w:t>
      </w:r>
    </w:p>
    <w:p w14:paraId="72F66CD7" w14:textId="77777777" w:rsidR="008301FF" w:rsidRPr="008301FF" w:rsidRDefault="008301FF" w:rsidP="008301FF">
      <w:pPr>
        <w:numPr>
          <w:ilvl w:val="0"/>
          <w:numId w:val="11"/>
        </w:numPr>
        <w:rPr>
          <w:lang w:val="es-ES_tradnl"/>
        </w:rPr>
      </w:pPr>
      <w:r w:rsidRPr="008301FF">
        <w:rPr>
          <w:b/>
          <w:bCs/>
          <w:lang w:val="es-ES_tradnl"/>
        </w:rPr>
        <w:t>Problema Medular:</w:t>
      </w:r>
      <w:r w:rsidRPr="008301FF">
        <w:rPr>
          <w:lang w:val="es-ES_tradnl"/>
        </w:rPr>
        <w:t> Se identificó la falta de visibilidad completa e integral del proyecto Apolo TDC como un "abanico de cosas interconectadas" y dependientes, lo que genera retrabajo y problemas de priorización.</w:t>
      </w:r>
    </w:p>
    <w:p w14:paraId="72BA57FB" w14:textId="77777777" w:rsidR="008301FF" w:rsidRPr="008301FF" w:rsidRDefault="008301FF" w:rsidP="008301FF">
      <w:pPr>
        <w:rPr>
          <w:lang w:val="es-ES_tradnl"/>
        </w:rPr>
      </w:pPr>
      <w:r w:rsidRPr="008301FF">
        <w:rPr>
          <w:lang w:val="es-ES_tradnl"/>
        </w:rPr>
        <w:t>II. Discusiones Detalladas1. Revisión de Arquitectura y Customizaciones de Smart Vista</w:t>
      </w:r>
    </w:p>
    <w:p w14:paraId="71CE3D54" w14:textId="77777777" w:rsidR="008301FF" w:rsidRPr="008301FF" w:rsidRDefault="008301FF" w:rsidP="008301FF">
      <w:pPr>
        <w:numPr>
          <w:ilvl w:val="0"/>
          <w:numId w:val="12"/>
        </w:numPr>
        <w:rPr>
          <w:lang w:val="es-ES_tradnl"/>
        </w:rPr>
      </w:pPr>
      <w:r w:rsidRPr="008301FF">
        <w:rPr>
          <w:b/>
          <w:bCs/>
          <w:lang w:val="es-ES_tradnl"/>
        </w:rPr>
        <w:t>Alineación de Arquitectura:</w:t>
      </w:r>
      <w:r w:rsidRPr="008301FF">
        <w:rPr>
          <w:lang w:val="es-ES_tradnl"/>
        </w:rPr>
        <w:t xml:space="preserve"> Smart Vista ha recibido una lista de hallazgos que deben ser abordados. A diferencia de otros </w:t>
      </w:r>
      <w:proofErr w:type="spellStart"/>
      <w:r w:rsidRPr="008301FF">
        <w:rPr>
          <w:i/>
          <w:iCs/>
          <w:lang w:val="es-ES_tradnl"/>
        </w:rPr>
        <w:t>tracks</w:t>
      </w:r>
      <w:proofErr w:type="spellEnd"/>
      <w:r w:rsidRPr="008301FF">
        <w:rPr>
          <w:lang w:val="es-ES_tradnl"/>
        </w:rPr>
        <w:t xml:space="preserve">, todos los hallazgos relacionados con Smart Vista deben ser resueltos, sin excepción por dependencia con el legado. El avance está en proceso, con </w:t>
      </w:r>
      <w:proofErr w:type="gramStart"/>
      <w:r w:rsidRPr="008301FF">
        <w:rPr>
          <w:i/>
          <w:iCs/>
          <w:lang w:val="es-ES_tradnl"/>
        </w:rPr>
        <w:t>tickets</w:t>
      </w:r>
      <w:proofErr w:type="gramEnd"/>
      <w:r w:rsidRPr="008301FF">
        <w:rPr>
          <w:lang w:val="es-ES_tradnl"/>
        </w:rPr>
        <w:t> elevados y conversaciones con el proveedor BPC para su clarificación y resolución.</w:t>
      </w:r>
    </w:p>
    <w:p w14:paraId="1013B72E" w14:textId="77777777" w:rsidR="008301FF" w:rsidRPr="008301FF" w:rsidRDefault="008301FF" w:rsidP="008301FF">
      <w:pPr>
        <w:numPr>
          <w:ilvl w:val="0"/>
          <w:numId w:val="12"/>
        </w:numPr>
        <w:rPr>
          <w:lang w:val="es-ES_tradnl"/>
        </w:rPr>
      </w:pPr>
      <w:r w:rsidRPr="008301FF">
        <w:rPr>
          <w:b/>
          <w:bCs/>
          <w:lang w:val="es-ES_tradnl"/>
        </w:rPr>
        <w:t xml:space="preserve">Personalizaciones y </w:t>
      </w:r>
      <w:r w:rsidRPr="008301FF">
        <w:rPr>
          <w:b/>
          <w:bCs/>
          <w:i/>
          <w:iCs/>
          <w:lang w:val="es-ES_tradnl"/>
        </w:rPr>
        <w:t xml:space="preserve">Change </w:t>
      </w:r>
      <w:proofErr w:type="spellStart"/>
      <w:r w:rsidRPr="008301FF">
        <w:rPr>
          <w:b/>
          <w:bCs/>
          <w:i/>
          <w:iCs/>
          <w:lang w:val="es-ES_tradnl"/>
        </w:rPr>
        <w:t>Requests</w:t>
      </w:r>
      <w:proofErr w:type="spellEnd"/>
      <w:r w:rsidRPr="008301FF">
        <w:rPr>
          <w:b/>
          <w:bCs/>
          <w:lang w:val="es-ES_tradnl"/>
        </w:rPr>
        <w:t>:</w:t>
      </w:r>
      <w:r w:rsidRPr="008301FF">
        <w:rPr>
          <w:lang w:val="es-ES_tradnl"/>
        </w:rPr>
        <w:t xml:space="preserve"> La mayoría de los requisitos se han abordado con configuraciones. Jose </w:t>
      </w:r>
      <w:proofErr w:type="spellStart"/>
      <w:r w:rsidRPr="008301FF">
        <w:rPr>
          <w:lang w:val="es-ES_tradnl"/>
        </w:rPr>
        <w:t>Jaimes</w:t>
      </w:r>
      <w:proofErr w:type="spellEnd"/>
      <w:r w:rsidRPr="008301FF">
        <w:rPr>
          <w:lang w:val="es-ES_tradnl"/>
        </w:rPr>
        <w:t xml:space="preserve"> Ortiz confirmó que ha habido al menos cinco </w:t>
      </w:r>
      <w:proofErr w:type="spellStart"/>
      <w:r w:rsidRPr="008301FF">
        <w:rPr>
          <w:i/>
          <w:iCs/>
          <w:lang w:val="es-ES_tradnl"/>
        </w:rPr>
        <w:t>change</w:t>
      </w:r>
      <w:proofErr w:type="spellEnd"/>
      <w:r w:rsidRPr="008301FF">
        <w:rPr>
          <w:i/>
          <w:iCs/>
          <w:lang w:val="es-ES_tradnl"/>
        </w:rPr>
        <w:t xml:space="preserve"> </w:t>
      </w:r>
      <w:proofErr w:type="spellStart"/>
      <w:r w:rsidRPr="008301FF">
        <w:rPr>
          <w:i/>
          <w:iCs/>
          <w:lang w:val="es-ES_tradnl"/>
        </w:rPr>
        <w:t>requests</w:t>
      </w:r>
      <w:proofErr w:type="spellEnd"/>
      <w:r w:rsidRPr="008301FF">
        <w:rPr>
          <w:lang w:val="es-ES_tradnl"/>
        </w:rPr>
        <w:t xml:space="preserve"> relevantes solicitados a BPC para temas normativos y operativos, como la interacción de la TDC con el banco actual y </w:t>
      </w:r>
      <w:proofErr w:type="spellStart"/>
      <w:r w:rsidRPr="008301FF">
        <w:rPr>
          <w:i/>
          <w:iCs/>
          <w:lang w:val="es-ES_tradnl"/>
        </w:rPr>
        <w:t>layouts</w:t>
      </w:r>
      <w:proofErr w:type="spellEnd"/>
      <w:r w:rsidRPr="008301FF">
        <w:rPr>
          <w:lang w:val="es-ES_tradnl"/>
        </w:rPr>
        <w:t> para el sistema legado.</w:t>
      </w:r>
    </w:p>
    <w:p w14:paraId="5F671655" w14:textId="77777777" w:rsidR="008301FF" w:rsidRPr="008301FF" w:rsidRDefault="008301FF" w:rsidP="008301FF">
      <w:pPr>
        <w:numPr>
          <w:ilvl w:val="1"/>
          <w:numId w:val="12"/>
        </w:numPr>
        <w:rPr>
          <w:lang w:val="es-ES_tradnl"/>
        </w:rPr>
      </w:pPr>
      <w:r w:rsidRPr="008301FF">
        <w:rPr>
          <w:lang w:val="es-ES_tradnl"/>
        </w:rPr>
        <w:t>Una personalización necesaria fue la autenticación por JWT, solicitada a raíz de revisiones de arquitectura y seguridad.</w:t>
      </w:r>
    </w:p>
    <w:p w14:paraId="10D0A4AE" w14:textId="77777777" w:rsidR="008301FF" w:rsidRPr="008301FF" w:rsidRDefault="008301FF" w:rsidP="008301FF">
      <w:pPr>
        <w:numPr>
          <w:ilvl w:val="1"/>
          <w:numId w:val="12"/>
        </w:numPr>
        <w:rPr>
          <w:lang w:val="es-ES_tradnl"/>
        </w:rPr>
      </w:pPr>
      <w:r w:rsidRPr="008301FF">
        <w:rPr>
          <w:lang w:val="es-ES_tradnl"/>
        </w:rPr>
        <w:t>Se aclaró que no se modificó Smart Vista para exponer datos; en su lugar, se construyó una interfaz para obtener los datos generados y enviarlos al sistema legado.</w:t>
      </w:r>
    </w:p>
    <w:p w14:paraId="2F4A6CF8" w14:textId="77777777" w:rsidR="008301FF" w:rsidRPr="008301FF" w:rsidRDefault="008301FF" w:rsidP="008301FF">
      <w:pPr>
        <w:numPr>
          <w:ilvl w:val="0"/>
          <w:numId w:val="12"/>
        </w:numPr>
        <w:rPr>
          <w:lang w:val="es-ES_tradnl"/>
        </w:rPr>
      </w:pPr>
      <w:r w:rsidRPr="008301FF">
        <w:rPr>
          <w:b/>
          <w:bCs/>
          <w:lang w:val="es-ES_tradnl"/>
        </w:rPr>
        <w:t>Riesgos de Certificación (PCI):</w:t>
      </w:r>
      <w:r w:rsidRPr="008301FF">
        <w:rPr>
          <w:lang w:val="es-ES_tradnl"/>
        </w:rPr>
        <w:t> Smart Vista cuenta con las certificaciones necesarias (PCI, encriptación, mandatos de marcas). Sin embargo, se expresó preocupación sobre si las interfaces temporales están pasando información sensible a un sistema legado que podría no estar completamente certificado en PCI.</w:t>
      </w:r>
    </w:p>
    <w:p w14:paraId="5543440E" w14:textId="77777777" w:rsidR="008301FF" w:rsidRPr="008301FF" w:rsidRDefault="008301FF" w:rsidP="008301FF">
      <w:pPr>
        <w:rPr>
          <w:lang w:val="en-US"/>
        </w:rPr>
      </w:pPr>
      <w:r w:rsidRPr="008301FF">
        <w:rPr>
          <w:lang w:val="en-US"/>
        </w:rPr>
        <w:t xml:space="preserve">2. </w:t>
      </w:r>
      <w:proofErr w:type="spellStart"/>
      <w:r w:rsidRPr="008301FF">
        <w:rPr>
          <w:lang w:val="en-US"/>
        </w:rPr>
        <w:t>Definición</w:t>
      </w:r>
      <w:proofErr w:type="spellEnd"/>
      <w:r w:rsidRPr="008301FF">
        <w:rPr>
          <w:lang w:val="en-US"/>
        </w:rPr>
        <w:t xml:space="preserve"> del </w:t>
      </w:r>
      <w:proofErr w:type="spellStart"/>
      <w:r w:rsidRPr="008301FF">
        <w:rPr>
          <w:lang w:val="en-US"/>
        </w:rPr>
        <w:t>Alcance</w:t>
      </w:r>
      <w:proofErr w:type="spellEnd"/>
      <w:r w:rsidRPr="008301FF">
        <w:rPr>
          <w:lang w:val="en-US"/>
        </w:rPr>
        <w:t xml:space="preserve"> y </w:t>
      </w:r>
      <w:proofErr w:type="spellStart"/>
      <w:r w:rsidRPr="008301FF">
        <w:rPr>
          <w:lang w:val="en-US"/>
        </w:rPr>
        <w:t>Desafíos</w:t>
      </w:r>
      <w:proofErr w:type="spellEnd"/>
    </w:p>
    <w:p w14:paraId="10969E63" w14:textId="77777777" w:rsidR="008301FF" w:rsidRPr="008301FF" w:rsidRDefault="008301FF" w:rsidP="008301FF">
      <w:pPr>
        <w:numPr>
          <w:ilvl w:val="0"/>
          <w:numId w:val="13"/>
        </w:numPr>
        <w:rPr>
          <w:lang w:val="es-ES_tradnl"/>
        </w:rPr>
      </w:pPr>
      <w:r w:rsidRPr="008301FF">
        <w:rPr>
          <w:b/>
          <w:bCs/>
          <w:lang w:val="es-ES_tradnl"/>
        </w:rPr>
        <w:t>Definiciones Incompletas:</w:t>
      </w:r>
      <w:r w:rsidRPr="008301FF">
        <w:rPr>
          <w:lang w:val="es-ES_tradnl"/>
        </w:rPr>
        <w:t> Luis Alberto Barragan Mejia señaló que la complejidad no solo es la integración con el legado, sino que el producto inicialmente no se consideró en sus tres etapas (</w:t>
      </w:r>
      <w:proofErr w:type="spellStart"/>
      <w:r w:rsidRPr="008301FF">
        <w:rPr>
          <w:lang w:val="es-ES_tradnl"/>
        </w:rPr>
        <w:t>originación</w:t>
      </w:r>
      <w:proofErr w:type="spellEnd"/>
      <w:r w:rsidRPr="008301FF">
        <w:rPr>
          <w:lang w:val="es-ES_tradnl"/>
        </w:rPr>
        <w:t xml:space="preserve">, operación y postventa) y no se integraron políticas de crédito en la </w:t>
      </w:r>
      <w:proofErr w:type="spellStart"/>
      <w:r w:rsidRPr="008301FF">
        <w:rPr>
          <w:lang w:val="es-ES_tradnl"/>
        </w:rPr>
        <w:t>originación</w:t>
      </w:r>
      <w:proofErr w:type="spellEnd"/>
      <w:r w:rsidRPr="008301FF">
        <w:rPr>
          <w:lang w:val="es-ES_tradnl"/>
        </w:rPr>
        <w:t>.</w:t>
      </w:r>
    </w:p>
    <w:p w14:paraId="7D46F282" w14:textId="77777777" w:rsidR="008301FF" w:rsidRPr="008301FF" w:rsidRDefault="008301FF" w:rsidP="008301FF">
      <w:pPr>
        <w:numPr>
          <w:ilvl w:val="0"/>
          <w:numId w:val="13"/>
        </w:numPr>
        <w:rPr>
          <w:lang w:val="es-ES_tradnl"/>
        </w:rPr>
      </w:pPr>
      <w:r w:rsidRPr="008301FF">
        <w:rPr>
          <w:b/>
          <w:bCs/>
          <w:lang w:val="es-ES_tradnl"/>
        </w:rPr>
        <w:t>Retos de Negocio:</w:t>
      </w:r>
      <w:r w:rsidRPr="008301FF">
        <w:rPr>
          <w:lang w:val="es-ES_tradnl"/>
        </w:rPr>
        <w:t> Sergio Arellano Payan mencionó que el equipo de negocio esperaba que Smart Vista replicara exactamente el funcionamiento y reportes del sistema legado, causando fricción. También hubo desconocimiento de lo construido previamente, lo que dificultó entregar definiciones exactas a tecnología.</w:t>
      </w:r>
    </w:p>
    <w:p w14:paraId="25D26E6C" w14:textId="77777777" w:rsidR="008301FF" w:rsidRPr="008301FF" w:rsidRDefault="008301FF" w:rsidP="008301FF">
      <w:pPr>
        <w:numPr>
          <w:ilvl w:val="0"/>
          <w:numId w:val="13"/>
        </w:numPr>
        <w:rPr>
          <w:lang w:val="es-ES_tradnl"/>
        </w:rPr>
      </w:pPr>
      <w:r w:rsidRPr="008301FF">
        <w:rPr>
          <w:b/>
          <w:bCs/>
          <w:lang w:val="es-ES_tradnl"/>
        </w:rPr>
        <w:t>Ajuste del Alcance:</w:t>
      </w:r>
      <w:r w:rsidRPr="008301FF">
        <w:rPr>
          <w:lang w:val="es-ES_tradnl"/>
        </w:rPr>
        <w:t xml:space="preserve"> El alcance del producto se redujo de 50 funcionalidades solicitadas a 19 esenciales para la salida a mercado abierto, quedando las restantes en un </w:t>
      </w:r>
      <w:r w:rsidRPr="008301FF">
        <w:rPr>
          <w:i/>
          <w:iCs/>
          <w:lang w:val="es-ES_tradnl"/>
        </w:rPr>
        <w:t>backlog</w:t>
      </w:r>
      <w:r w:rsidRPr="008301FF">
        <w:rPr>
          <w:lang w:val="es-ES_tradnl"/>
        </w:rPr>
        <w:t>.</w:t>
      </w:r>
    </w:p>
    <w:p w14:paraId="14E2EF31" w14:textId="77777777" w:rsidR="008301FF" w:rsidRPr="008301FF" w:rsidRDefault="008301FF" w:rsidP="008301FF">
      <w:pPr>
        <w:rPr>
          <w:lang w:val="en-US"/>
        </w:rPr>
      </w:pPr>
      <w:r w:rsidRPr="008301FF">
        <w:rPr>
          <w:lang w:val="en-US"/>
        </w:rPr>
        <w:t xml:space="preserve">3. Roadmap </w:t>
      </w:r>
      <w:proofErr w:type="spellStart"/>
      <w:r w:rsidRPr="008301FF">
        <w:rPr>
          <w:lang w:val="en-US"/>
        </w:rPr>
        <w:t>Comprometido</w:t>
      </w:r>
      <w:proofErr w:type="spellEnd"/>
      <w:r w:rsidRPr="008301FF">
        <w:rPr>
          <w:lang w:val="en-US"/>
        </w:rPr>
        <w:t xml:space="preserve"> (R4)</w:t>
      </w:r>
    </w:p>
    <w:p w14:paraId="60FEE8FD" w14:textId="77777777" w:rsidR="008301FF" w:rsidRPr="008301FF" w:rsidRDefault="008301FF" w:rsidP="008301FF">
      <w:pPr>
        <w:numPr>
          <w:ilvl w:val="0"/>
          <w:numId w:val="14"/>
        </w:numPr>
        <w:rPr>
          <w:lang w:val="es-ES_tradnl"/>
        </w:rPr>
      </w:pPr>
      <w:r w:rsidRPr="008301FF">
        <w:rPr>
          <w:lang w:val="es-ES_tradnl"/>
        </w:rPr>
        <w:t>El trabajo confirmado se centra únicamente en el producto de Tarjeta de Crédito (TDC) hasta finales de 2026 (R4).</w:t>
      </w:r>
    </w:p>
    <w:p w14:paraId="2E3D28F9" w14:textId="77777777" w:rsidR="008301FF" w:rsidRPr="008301FF" w:rsidRDefault="008301FF" w:rsidP="008301FF">
      <w:pPr>
        <w:numPr>
          <w:ilvl w:val="0"/>
          <w:numId w:val="14"/>
        </w:numPr>
        <w:rPr>
          <w:lang w:val="es-ES_tradnl"/>
        </w:rPr>
      </w:pPr>
      <w:r w:rsidRPr="008301FF">
        <w:rPr>
          <w:b/>
          <w:bCs/>
          <w:lang w:val="es-ES_tradnl"/>
        </w:rPr>
        <w:t xml:space="preserve">Funcionalidades Clave de R4 (Estimadas a </w:t>
      </w:r>
      <w:proofErr w:type="gramStart"/>
      <w:r w:rsidRPr="008301FF">
        <w:rPr>
          <w:b/>
          <w:bCs/>
          <w:lang w:val="es-ES_tradnl"/>
        </w:rPr>
        <w:t>Diciembre</w:t>
      </w:r>
      <w:proofErr w:type="gramEnd"/>
      <w:r w:rsidRPr="008301FF">
        <w:rPr>
          <w:b/>
          <w:bCs/>
          <w:lang w:val="es-ES_tradnl"/>
        </w:rPr>
        <w:t xml:space="preserve"> 2026):</w:t>
      </w:r>
    </w:p>
    <w:p w14:paraId="7B59A3FB" w14:textId="77777777" w:rsidR="008301FF" w:rsidRPr="008301FF" w:rsidRDefault="008301FF" w:rsidP="008301FF">
      <w:pPr>
        <w:numPr>
          <w:ilvl w:val="1"/>
          <w:numId w:val="14"/>
        </w:numPr>
        <w:rPr>
          <w:lang w:val="es-ES_tradnl"/>
        </w:rPr>
      </w:pPr>
      <w:r w:rsidRPr="008301FF">
        <w:rPr>
          <w:b/>
          <w:bCs/>
          <w:lang w:val="es-ES_tradnl"/>
        </w:rPr>
        <w:t>Apolo (R3):</w:t>
      </w:r>
      <w:r w:rsidRPr="008301FF">
        <w:rPr>
          <w:lang w:val="es-ES_tradnl"/>
        </w:rPr>
        <w:t> Nueve funcionalidades se liberan entre junio y julio; dos pendientes antes de diciembre.</w:t>
      </w:r>
    </w:p>
    <w:p w14:paraId="38F4D7FC" w14:textId="77777777" w:rsidR="008301FF" w:rsidRPr="008301FF" w:rsidRDefault="008301FF" w:rsidP="008301FF">
      <w:pPr>
        <w:numPr>
          <w:ilvl w:val="1"/>
          <w:numId w:val="14"/>
        </w:numPr>
        <w:rPr>
          <w:lang w:val="es-ES_tradnl"/>
        </w:rPr>
      </w:pPr>
      <w:r w:rsidRPr="008301FF">
        <w:rPr>
          <w:b/>
          <w:bCs/>
          <w:lang w:val="es-ES_tradnl"/>
        </w:rPr>
        <w:t>App:</w:t>
      </w:r>
      <w:r w:rsidRPr="008301FF">
        <w:rPr>
          <w:lang w:val="es-ES_tradnl"/>
        </w:rPr>
        <w:t> Funcionalidades TDC específicas de R4 terminan en diciembre.</w:t>
      </w:r>
    </w:p>
    <w:p w14:paraId="240EA582" w14:textId="77777777" w:rsidR="008301FF" w:rsidRPr="008301FF" w:rsidRDefault="008301FF" w:rsidP="008301FF">
      <w:pPr>
        <w:numPr>
          <w:ilvl w:val="1"/>
          <w:numId w:val="14"/>
        </w:numPr>
        <w:rPr>
          <w:lang w:val="es-ES_tradnl"/>
        </w:rPr>
      </w:pPr>
      <w:r w:rsidRPr="008301FF">
        <w:rPr>
          <w:b/>
          <w:bCs/>
          <w:lang w:val="es-ES_tradnl"/>
        </w:rPr>
        <w:t>CW:</w:t>
      </w:r>
      <w:r w:rsidRPr="008301FF">
        <w:rPr>
          <w:lang w:val="es-ES_tradnl"/>
        </w:rPr>
        <w:t> Una funcionalidad de R4 termina en septiembre/octubre.</w:t>
      </w:r>
    </w:p>
    <w:p w14:paraId="60F0203A" w14:textId="77777777" w:rsidR="008301FF" w:rsidRPr="008301FF" w:rsidRDefault="008301FF" w:rsidP="008301FF">
      <w:pPr>
        <w:numPr>
          <w:ilvl w:val="1"/>
          <w:numId w:val="14"/>
        </w:numPr>
        <w:rPr>
          <w:lang w:val="es-ES_tradnl"/>
        </w:rPr>
      </w:pPr>
      <w:r w:rsidRPr="008301FF">
        <w:rPr>
          <w:b/>
          <w:bCs/>
          <w:lang w:val="es-ES_tradnl"/>
        </w:rPr>
        <w:t>Smart Vista:</w:t>
      </w:r>
      <w:r w:rsidRPr="008301FF">
        <w:rPr>
          <w:lang w:val="es-ES_tradnl"/>
        </w:rPr>
        <w:t xml:space="preserve"> Implementación de autorizador y </w:t>
      </w:r>
      <w:proofErr w:type="spellStart"/>
      <w:r w:rsidRPr="008301FF">
        <w:rPr>
          <w:lang w:val="es-ES_tradnl"/>
        </w:rPr>
        <w:t>preautorizador</w:t>
      </w:r>
      <w:proofErr w:type="spellEnd"/>
      <w:r w:rsidRPr="008301FF">
        <w:rPr>
          <w:lang w:val="es-ES_tradnl"/>
        </w:rPr>
        <w:t xml:space="preserve"> antes de diciembre.</w:t>
      </w:r>
    </w:p>
    <w:p w14:paraId="77112D27" w14:textId="77777777" w:rsidR="008301FF" w:rsidRPr="008301FF" w:rsidRDefault="008301FF" w:rsidP="008301FF">
      <w:pPr>
        <w:numPr>
          <w:ilvl w:val="1"/>
          <w:numId w:val="14"/>
        </w:numPr>
        <w:rPr>
          <w:lang w:val="es-ES_tradnl"/>
        </w:rPr>
      </w:pPr>
      <w:r w:rsidRPr="008301FF">
        <w:rPr>
          <w:b/>
          <w:bCs/>
          <w:lang w:val="es-ES_tradnl"/>
        </w:rPr>
        <w:t>Sistemas Legados:</w:t>
      </w:r>
      <w:r w:rsidRPr="008301FF">
        <w:rPr>
          <w:lang w:val="es-ES_tradnl"/>
        </w:rPr>
        <w:t> Creación de la cuenta N4 a través de Apolo, comprometida para septiembre (fase uno).</w:t>
      </w:r>
    </w:p>
    <w:p w14:paraId="68FE3A6F" w14:textId="77777777" w:rsidR="008301FF" w:rsidRPr="008301FF" w:rsidRDefault="008301FF" w:rsidP="008301FF">
      <w:pPr>
        <w:numPr>
          <w:ilvl w:val="0"/>
          <w:numId w:val="14"/>
        </w:numPr>
        <w:rPr>
          <w:lang w:val="es-ES_tradnl"/>
        </w:rPr>
      </w:pPr>
      <w:r w:rsidRPr="008301FF">
        <w:rPr>
          <w:b/>
          <w:bCs/>
          <w:lang w:val="es-ES_tradnl"/>
        </w:rPr>
        <w:t>Visión a Largo Plazo:</w:t>
      </w:r>
      <w:r w:rsidRPr="008301FF">
        <w:rPr>
          <w:lang w:val="es-ES_tradnl"/>
        </w:rPr>
        <w:t xml:space="preserve"> Existe un </w:t>
      </w:r>
      <w:r w:rsidRPr="008301FF">
        <w:rPr>
          <w:i/>
          <w:iCs/>
          <w:lang w:val="es-ES_tradnl"/>
        </w:rPr>
        <w:t>backlog</w:t>
      </w:r>
      <w:r w:rsidRPr="008301FF">
        <w:rPr>
          <w:lang w:val="es-ES_tradnl"/>
        </w:rPr>
        <w:t> para la evolución de la TDC hasta finales de 2028, pero solo 2026 está mapeado y confirmado con el equipo de Smart Vista.</w:t>
      </w:r>
    </w:p>
    <w:p w14:paraId="7C14AB88" w14:textId="77777777" w:rsidR="008301FF" w:rsidRPr="008301FF" w:rsidRDefault="008301FF" w:rsidP="008301FF">
      <w:pPr>
        <w:rPr>
          <w:lang w:val="en-US"/>
        </w:rPr>
      </w:pPr>
      <w:r w:rsidRPr="008301FF">
        <w:rPr>
          <w:lang w:val="en-US"/>
        </w:rPr>
        <w:t xml:space="preserve">4. </w:t>
      </w:r>
      <w:proofErr w:type="spellStart"/>
      <w:r w:rsidRPr="008301FF">
        <w:rPr>
          <w:lang w:val="en-US"/>
        </w:rPr>
        <w:t>Estrategia</w:t>
      </w:r>
      <w:proofErr w:type="spellEnd"/>
      <w:r w:rsidRPr="008301FF">
        <w:rPr>
          <w:lang w:val="en-US"/>
        </w:rPr>
        <w:t xml:space="preserve"> de </w:t>
      </w:r>
      <w:proofErr w:type="spellStart"/>
      <w:r w:rsidRPr="008301FF">
        <w:rPr>
          <w:lang w:val="en-US"/>
        </w:rPr>
        <w:t>Migración</w:t>
      </w:r>
      <w:proofErr w:type="spellEnd"/>
      <w:r w:rsidRPr="008301FF">
        <w:rPr>
          <w:lang w:val="en-US"/>
        </w:rPr>
        <w:t xml:space="preserve"> y </w:t>
      </w:r>
      <w:proofErr w:type="spellStart"/>
      <w:r w:rsidRPr="008301FF">
        <w:rPr>
          <w:lang w:val="en-US"/>
        </w:rPr>
        <w:t>Coexistencia</w:t>
      </w:r>
      <w:proofErr w:type="spellEnd"/>
    </w:p>
    <w:p w14:paraId="4005803C" w14:textId="77777777" w:rsidR="008301FF" w:rsidRPr="008301FF" w:rsidRDefault="008301FF" w:rsidP="008301FF">
      <w:pPr>
        <w:numPr>
          <w:ilvl w:val="0"/>
          <w:numId w:val="15"/>
        </w:numPr>
        <w:rPr>
          <w:lang w:val="es-ES_tradnl"/>
        </w:rPr>
      </w:pPr>
      <w:r w:rsidRPr="008301FF">
        <w:rPr>
          <w:b/>
          <w:bCs/>
          <w:lang w:val="es-ES_tradnl"/>
        </w:rPr>
        <w:t>Plan de Olas:</w:t>
      </w:r>
      <w:r w:rsidRPr="008301FF">
        <w:rPr>
          <w:lang w:val="es-ES_tradnl"/>
        </w:rPr>
        <w:t> La migración del portafolio actual de TDC se planea en cuatro olas, ligadas a la habilitación de funcionalidades en Smart Vista (R4).</w:t>
      </w:r>
    </w:p>
    <w:p w14:paraId="2E155324" w14:textId="77777777" w:rsidR="008301FF" w:rsidRPr="008301FF" w:rsidRDefault="008301FF" w:rsidP="008301FF">
      <w:pPr>
        <w:numPr>
          <w:ilvl w:val="0"/>
          <w:numId w:val="15"/>
        </w:numPr>
        <w:rPr>
          <w:lang w:val="es-ES_tradnl"/>
        </w:rPr>
      </w:pPr>
      <w:r w:rsidRPr="008301FF">
        <w:rPr>
          <w:b/>
          <w:bCs/>
          <w:lang w:val="es-ES_tradnl"/>
        </w:rPr>
        <w:t>Criterio de Migración:</w:t>
      </w:r>
      <w:r w:rsidRPr="008301FF">
        <w:rPr>
          <w:lang w:val="es-ES_tradnl"/>
        </w:rPr>
        <w:t> Se prioriza el ID de producto y de cliente (no el BIN) para evitar la división de la información del cliente entre el legado y Smart Vista.</w:t>
      </w:r>
    </w:p>
    <w:p w14:paraId="032361A6" w14:textId="77777777" w:rsidR="008301FF" w:rsidRPr="008301FF" w:rsidRDefault="008301FF" w:rsidP="008301FF">
      <w:pPr>
        <w:numPr>
          <w:ilvl w:val="0"/>
          <w:numId w:val="15"/>
        </w:numPr>
        <w:rPr>
          <w:lang w:val="es-ES_tradnl"/>
        </w:rPr>
      </w:pPr>
      <w:r w:rsidRPr="008301FF">
        <w:rPr>
          <w:b/>
          <w:bCs/>
          <w:lang w:val="es-ES_tradnl"/>
        </w:rPr>
        <w:t>Cronograma:</w:t>
      </w:r>
      <w:r w:rsidRPr="008301FF">
        <w:rPr>
          <w:lang w:val="es-ES_tradnl"/>
        </w:rPr>
        <w:t xml:space="preserve"> La migración completa del portafolio (99% producto clásico) podría finalizar en 2027, pero depende de dos precondiciones esenciales: la implementación del </w:t>
      </w:r>
      <w:proofErr w:type="spellStart"/>
      <w:r w:rsidRPr="008301FF">
        <w:rPr>
          <w:lang w:val="es-ES_tradnl"/>
        </w:rPr>
        <w:t>preautorizador</w:t>
      </w:r>
      <w:proofErr w:type="spellEnd"/>
      <w:r w:rsidRPr="008301FF">
        <w:rPr>
          <w:lang w:val="es-ES_tradnl"/>
        </w:rPr>
        <w:t xml:space="preserve"> y la detención de la </w:t>
      </w:r>
      <w:proofErr w:type="spellStart"/>
      <w:r w:rsidRPr="008301FF">
        <w:rPr>
          <w:lang w:val="es-ES_tradnl"/>
        </w:rPr>
        <w:t>originación</w:t>
      </w:r>
      <w:proofErr w:type="spellEnd"/>
      <w:r w:rsidRPr="008301FF">
        <w:rPr>
          <w:lang w:val="es-ES_tradnl"/>
        </w:rPr>
        <w:t xml:space="preserve"> de tarjetas en PISA.</w:t>
      </w:r>
    </w:p>
    <w:p w14:paraId="7F65E169" w14:textId="77777777" w:rsidR="008301FF" w:rsidRPr="008301FF" w:rsidRDefault="008301FF" w:rsidP="008301FF">
      <w:pPr>
        <w:numPr>
          <w:ilvl w:val="0"/>
          <w:numId w:val="15"/>
        </w:numPr>
        <w:rPr>
          <w:lang w:val="es-ES_tradnl"/>
        </w:rPr>
      </w:pPr>
      <w:r w:rsidRPr="008301FF">
        <w:rPr>
          <w:b/>
          <w:bCs/>
          <w:lang w:val="es-ES_tradnl"/>
        </w:rPr>
        <w:t>Interfaces con Legado:</w:t>
      </w:r>
      <w:r w:rsidRPr="008301FF">
        <w:rPr>
          <w:lang w:val="es-ES_tradnl"/>
        </w:rPr>
        <w:t xml:space="preserve"> Jose </w:t>
      </w:r>
      <w:proofErr w:type="spellStart"/>
      <w:r w:rsidRPr="008301FF">
        <w:rPr>
          <w:lang w:val="es-ES_tradnl"/>
        </w:rPr>
        <w:t>Jaimes</w:t>
      </w:r>
      <w:proofErr w:type="spellEnd"/>
      <w:r w:rsidRPr="008301FF">
        <w:rPr>
          <w:lang w:val="es-ES_tradnl"/>
        </w:rPr>
        <w:t xml:space="preserve"> Ortiz detalló que los componentes de Smart Vista exponen información a través de un S3 (usando AWS Transfer </w:t>
      </w:r>
      <w:proofErr w:type="spellStart"/>
      <w:r w:rsidRPr="008301FF">
        <w:rPr>
          <w:lang w:val="es-ES_tradnl"/>
        </w:rPr>
        <w:t>Family</w:t>
      </w:r>
      <w:proofErr w:type="spellEnd"/>
      <w:r w:rsidRPr="008301FF">
        <w:rPr>
          <w:lang w:val="es-ES_tradnl"/>
        </w:rPr>
        <w:t>) para transferir datos de contabilidad, maquila, prevención de fraudes, conciliaciones y estados de cuenta al legado. Estas interfaces son temporales hasta la consolidación de procesos en una plataforma.</w:t>
      </w:r>
    </w:p>
    <w:p w14:paraId="02857DA0" w14:textId="77777777" w:rsidR="008301FF" w:rsidRPr="008301FF" w:rsidRDefault="008301FF" w:rsidP="008301FF">
      <w:pPr>
        <w:rPr>
          <w:lang w:val="en-US"/>
        </w:rPr>
      </w:pPr>
      <w:r w:rsidRPr="008301FF">
        <w:rPr>
          <w:lang w:val="en-US"/>
        </w:rPr>
        <w:t xml:space="preserve">5. </w:t>
      </w:r>
      <w:proofErr w:type="spellStart"/>
      <w:r w:rsidRPr="008301FF">
        <w:rPr>
          <w:lang w:val="en-US"/>
        </w:rPr>
        <w:t>Lecciones</w:t>
      </w:r>
      <w:proofErr w:type="spellEnd"/>
      <w:r w:rsidRPr="008301FF">
        <w:rPr>
          <w:lang w:val="en-US"/>
        </w:rPr>
        <w:t xml:space="preserve"> </w:t>
      </w:r>
      <w:proofErr w:type="spellStart"/>
      <w:r w:rsidRPr="008301FF">
        <w:rPr>
          <w:lang w:val="en-US"/>
        </w:rPr>
        <w:t>Aprendidas</w:t>
      </w:r>
      <w:proofErr w:type="spellEnd"/>
    </w:p>
    <w:p w14:paraId="56310CB6" w14:textId="77777777" w:rsidR="008301FF" w:rsidRPr="008301FF" w:rsidRDefault="008301FF" w:rsidP="008301FF">
      <w:pPr>
        <w:numPr>
          <w:ilvl w:val="0"/>
          <w:numId w:val="16"/>
        </w:numPr>
        <w:rPr>
          <w:lang w:val="es-ES_tradnl"/>
        </w:rPr>
      </w:pPr>
      <w:r w:rsidRPr="008301FF">
        <w:rPr>
          <w:b/>
          <w:bCs/>
          <w:lang w:val="es-ES_tradnl"/>
        </w:rPr>
        <w:t>Necesidad de Visibilidad Integral:</w:t>
      </w:r>
      <w:r w:rsidRPr="008301FF">
        <w:rPr>
          <w:lang w:val="es-ES_tradnl"/>
        </w:rPr>
        <w:t> La visión fragmentada del proyecto (ver Apolo TDC de forma aislada) resultó en retrabajo, deuda técnica y problemas de priorización.</w:t>
      </w:r>
    </w:p>
    <w:p w14:paraId="32C174B1" w14:textId="77777777" w:rsidR="008301FF" w:rsidRPr="008301FF" w:rsidRDefault="008301FF" w:rsidP="008301FF">
      <w:pPr>
        <w:numPr>
          <w:ilvl w:val="0"/>
          <w:numId w:val="16"/>
        </w:numPr>
        <w:rPr>
          <w:lang w:val="es-ES_tradnl"/>
        </w:rPr>
      </w:pPr>
      <w:r w:rsidRPr="008301FF">
        <w:rPr>
          <w:b/>
          <w:bCs/>
          <w:lang w:val="es-ES_tradnl"/>
        </w:rPr>
        <w:t>Integración de Planes (R3):</w:t>
      </w:r>
      <w:r w:rsidRPr="008301FF">
        <w:rPr>
          <w:lang w:val="es-ES_tradnl"/>
        </w:rPr>
        <w:t xml:space="preserve"> A diferencia del R2, donde la deuda técnica, la transición y la remediación se gestionaron de forma aislada, para R3 todos estos aspectos, incluyendo pruebas de rendimiento y temas de ambientes, están integrados en el plan de gestión del </w:t>
      </w:r>
      <w:proofErr w:type="spellStart"/>
      <w:r w:rsidRPr="008301FF">
        <w:rPr>
          <w:i/>
          <w:iCs/>
          <w:lang w:val="es-ES_tradnl"/>
        </w:rPr>
        <w:t>track</w:t>
      </w:r>
      <w:proofErr w:type="spellEnd"/>
      <w:r w:rsidRPr="008301FF">
        <w:rPr>
          <w:lang w:val="es-ES_tradnl"/>
        </w:rPr>
        <w:t> Apolo TDC.</w:t>
      </w:r>
    </w:p>
    <w:p w14:paraId="42A67B39" w14:textId="77777777" w:rsidR="008301FF" w:rsidRPr="008301FF" w:rsidRDefault="008301FF" w:rsidP="008301FF">
      <w:pPr>
        <w:numPr>
          <w:ilvl w:val="0"/>
          <w:numId w:val="16"/>
        </w:numPr>
        <w:rPr>
          <w:lang w:val="es-ES_tradnl"/>
        </w:rPr>
      </w:pPr>
      <w:r w:rsidRPr="008301FF">
        <w:rPr>
          <w:b/>
          <w:bCs/>
          <w:lang w:val="es-ES_tradnl"/>
        </w:rPr>
        <w:t>Planificación de Transición:</w:t>
      </w:r>
      <w:r w:rsidRPr="008301FF">
        <w:rPr>
          <w:lang w:val="es-ES_tradnl"/>
        </w:rPr>
        <w:t xml:space="preserve"> Se reconoció que el equipo se centró demasiado en la liberación, descuidando la socialización de los cambios con áreas como Contabilidad y la planificación de la transición. El traspaso de soporte, la entrega de manuales y un periodo de </w:t>
      </w:r>
      <w:proofErr w:type="spellStart"/>
      <w:r w:rsidRPr="008301FF">
        <w:rPr>
          <w:i/>
          <w:iCs/>
          <w:lang w:val="es-ES_tradnl"/>
        </w:rPr>
        <w:t>supercare</w:t>
      </w:r>
      <w:proofErr w:type="spellEnd"/>
      <w:r w:rsidRPr="008301FF">
        <w:rPr>
          <w:lang w:val="es-ES_tradnl"/>
        </w:rPr>
        <w:t> deben integrarse al plan de entrega.</w:t>
      </w:r>
    </w:p>
    <w:p w14:paraId="07D21A25" w14:textId="77777777" w:rsidR="008301FF" w:rsidRDefault="008301FF" w:rsidP="008301FF">
      <w:pPr>
        <w:rPr>
          <w:lang w:val="en-US"/>
        </w:rPr>
      </w:pPr>
      <w:r w:rsidRPr="008301FF">
        <w:rPr>
          <w:lang w:val="en-US"/>
        </w:rPr>
        <w:t xml:space="preserve">III. Pasos </w:t>
      </w:r>
      <w:proofErr w:type="spellStart"/>
      <w:r w:rsidRPr="008301FF">
        <w:rPr>
          <w:lang w:val="en-US"/>
        </w:rPr>
        <w:t>Siguientes</w:t>
      </w:r>
      <w:proofErr w:type="spellEnd"/>
      <w:r w:rsidRPr="008301FF">
        <w:rPr>
          <w:lang w:val="en-US"/>
        </w:rPr>
        <w:t xml:space="preserve"> </w:t>
      </w:r>
      <w:proofErr w:type="spellStart"/>
      <w:r w:rsidRPr="008301FF">
        <w:rPr>
          <w:lang w:val="en-US"/>
        </w:rPr>
        <w:t>Recomendados</w:t>
      </w:r>
      <w:proofErr w:type="spellEnd"/>
    </w:p>
    <w:p w14:paraId="0622198E" w14:textId="77777777" w:rsidR="00853C57" w:rsidRPr="00853C57" w:rsidRDefault="00853C57" w:rsidP="00853C57">
      <w:pPr>
        <w:pStyle w:val="ListParagraph"/>
        <w:numPr>
          <w:ilvl w:val="0"/>
          <w:numId w:val="17"/>
        </w:numPr>
        <w:spacing w:after="0" w:line="240" w:lineRule="auto"/>
        <w:rPr>
          <w:lang w:val="es-ES_tradnl"/>
        </w:rPr>
      </w:pPr>
      <w:r w:rsidRPr="00853C57">
        <w:rPr>
          <w:lang w:val="es-ES_tradnl"/>
        </w:rPr>
        <w:t xml:space="preserve">Compartir el </w:t>
      </w:r>
      <w:proofErr w:type="spellStart"/>
      <w:r w:rsidRPr="00853C57">
        <w:rPr>
          <w:lang w:val="es-ES_tradnl"/>
        </w:rPr>
        <w:t>roadmap</w:t>
      </w:r>
      <w:proofErr w:type="spellEnd"/>
      <w:r w:rsidRPr="00853C57">
        <w:rPr>
          <w:lang w:val="es-ES_tradnl"/>
        </w:rPr>
        <w:t xml:space="preserve"> R4, incluyendo riesgos y dependencias mapeadas por equipos TI.</w:t>
      </w:r>
    </w:p>
    <w:p w14:paraId="653B0B1D" w14:textId="447D945E" w:rsidR="00853C57" w:rsidRPr="00853C57" w:rsidRDefault="00853C57" w:rsidP="00853C57">
      <w:pPr>
        <w:pStyle w:val="ListParagraph"/>
        <w:numPr>
          <w:ilvl w:val="0"/>
          <w:numId w:val="17"/>
        </w:numPr>
        <w:spacing w:after="0" w:line="240" w:lineRule="auto"/>
        <w:rPr>
          <w:lang w:val="es-ES_tradnl"/>
        </w:rPr>
      </w:pPr>
      <w:r w:rsidRPr="00853C57">
        <w:rPr>
          <w:lang w:val="es-ES_tradnl"/>
        </w:rPr>
        <w:t>Compartir los tracks de remediación, enfocados en temas BPC y TDC</w:t>
      </w:r>
    </w:p>
    <w:p w14:paraId="1E81E4A3" w14:textId="7B1D7415" w:rsidR="00994240" w:rsidRDefault="00853C57" w:rsidP="00994240">
      <w:pPr>
        <w:pStyle w:val="ListParagraph"/>
        <w:numPr>
          <w:ilvl w:val="0"/>
          <w:numId w:val="17"/>
        </w:numPr>
        <w:rPr>
          <w:lang w:val="es-ES_tradnl"/>
        </w:rPr>
      </w:pPr>
      <w:r w:rsidRPr="00853C57">
        <w:rPr>
          <w:lang w:val="es-ES_tradnl"/>
        </w:rPr>
        <w:t xml:space="preserve">Ajustar el presupuesto base Smart Vista y alinear el </w:t>
      </w:r>
      <w:proofErr w:type="spellStart"/>
      <w:r w:rsidRPr="00853C57">
        <w:rPr>
          <w:i/>
          <w:iCs/>
          <w:lang w:val="es-ES_tradnl"/>
        </w:rPr>
        <w:t>business</w:t>
      </w:r>
      <w:proofErr w:type="spellEnd"/>
      <w:r w:rsidRPr="00853C57">
        <w:rPr>
          <w:i/>
          <w:iCs/>
          <w:lang w:val="es-ES_tradnl"/>
        </w:rPr>
        <w:t xml:space="preserve"> case</w:t>
      </w:r>
      <w:r w:rsidRPr="00853C57">
        <w:rPr>
          <w:lang w:val="es-ES_tradnl"/>
        </w:rPr>
        <w:t> a las metas de 2030</w:t>
      </w:r>
    </w:p>
    <w:p w14:paraId="2BA88BCF" w14:textId="47905329" w:rsidR="00853C57" w:rsidRPr="00853C57" w:rsidRDefault="00853C57" w:rsidP="00994240">
      <w:pPr>
        <w:pStyle w:val="ListParagraph"/>
        <w:numPr>
          <w:ilvl w:val="0"/>
          <w:numId w:val="17"/>
        </w:numPr>
        <w:rPr>
          <w:lang w:val="es-ES_tradnl"/>
        </w:rPr>
      </w:pPr>
      <w:r w:rsidRPr="00853C57">
        <w:rPr>
          <w:lang w:val="es-ES_tradnl"/>
        </w:rPr>
        <w:t>Compartir visión de interfaces, manual de monitor y enviar documentos para revisión del equipo</w:t>
      </w:r>
      <w:r>
        <w:rPr>
          <w:lang w:val="es-ES_tradnl"/>
        </w:rPr>
        <w:t xml:space="preserve"> (Jose </w:t>
      </w:r>
      <w:proofErr w:type="spellStart"/>
      <w:r>
        <w:rPr>
          <w:lang w:val="es-ES_tradnl"/>
        </w:rPr>
        <w:t>Jaimes</w:t>
      </w:r>
      <w:proofErr w:type="spellEnd"/>
      <w:r>
        <w:rPr>
          <w:lang w:val="es-ES_tradnl"/>
        </w:rPr>
        <w:t xml:space="preserve"> Ortiz)</w:t>
      </w:r>
    </w:p>
    <w:p w14:paraId="31CF5BF1" w14:textId="77777777" w:rsidR="001B42A6" w:rsidRPr="008301FF" w:rsidRDefault="001B42A6" w:rsidP="008301FF"/>
    <w:sectPr w:rsidR="001B42A6" w:rsidRPr="00830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6440"/>
    <w:multiLevelType w:val="multilevel"/>
    <w:tmpl w:val="4CC8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24726"/>
    <w:multiLevelType w:val="multilevel"/>
    <w:tmpl w:val="7E82B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63BEE"/>
    <w:multiLevelType w:val="multilevel"/>
    <w:tmpl w:val="9868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82863"/>
    <w:multiLevelType w:val="multilevel"/>
    <w:tmpl w:val="4794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A1D05"/>
    <w:multiLevelType w:val="multilevel"/>
    <w:tmpl w:val="ED1A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F414A"/>
    <w:multiLevelType w:val="multilevel"/>
    <w:tmpl w:val="E8DA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573EC6"/>
    <w:multiLevelType w:val="multilevel"/>
    <w:tmpl w:val="EBF24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B560D7"/>
    <w:multiLevelType w:val="multilevel"/>
    <w:tmpl w:val="BB88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57136"/>
    <w:multiLevelType w:val="multilevel"/>
    <w:tmpl w:val="D9260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696E7B"/>
    <w:multiLevelType w:val="multilevel"/>
    <w:tmpl w:val="59E4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025BD"/>
    <w:multiLevelType w:val="multilevel"/>
    <w:tmpl w:val="0536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E1FFE"/>
    <w:multiLevelType w:val="multilevel"/>
    <w:tmpl w:val="22D83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018E3"/>
    <w:multiLevelType w:val="hybridMultilevel"/>
    <w:tmpl w:val="F8769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3C6A44"/>
    <w:multiLevelType w:val="multilevel"/>
    <w:tmpl w:val="1A020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E39D8"/>
    <w:multiLevelType w:val="multilevel"/>
    <w:tmpl w:val="BB44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663B76"/>
    <w:multiLevelType w:val="multilevel"/>
    <w:tmpl w:val="B30A1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96DB1"/>
    <w:multiLevelType w:val="multilevel"/>
    <w:tmpl w:val="FABEF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457948">
    <w:abstractNumId w:val="15"/>
  </w:num>
  <w:num w:numId="2" w16cid:durableId="1141003430">
    <w:abstractNumId w:val="1"/>
  </w:num>
  <w:num w:numId="3" w16cid:durableId="24060082">
    <w:abstractNumId w:val="5"/>
  </w:num>
  <w:num w:numId="4" w16cid:durableId="454756883">
    <w:abstractNumId w:val="0"/>
  </w:num>
  <w:num w:numId="5" w16cid:durableId="831799397">
    <w:abstractNumId w:val="8"/>
  </w:num>
  <w:num w:numId="6" w16cid:durableId="906113426">
    <w:abstractNumId w:val="6"/>
  </w:num>
  <w:num w:numId="7" w16cid:durableId="311829843">
    <w:abstractNumId w:val="13"/>
  </w:num>
  <w:num w:numId="8" w16cid:durableId="1711299911">
    <w:abstractNumId w:val="2"/>
  </w:num>
  <w:num w:numId="9" w16cid:durableId="1434470328">
    <w:abstractNumId w:val="7"/>
  </w:num>
  <w:num w:numId="10" w16cid:durableId="154616629">
    <w:abstractNumId w:val="3"/>
  </w:num>
  <w:num w:numId="11" w16cid:durableId="574317235">
    <w:abstractNumId w:val="14"/>
  </w:num>
  <w:num w:numId="12" w16cid:durableId="1150098268">
    <w:abstractNumId w:val="11"/>
  </w:num>
  <w:num w:numId="13" w16cid:durableId="452404042">
    <w:abstractNumId w:val="10"/>
  </w:num>
  <w:num w:numId="14" w16cid:durableId="1711489926">
    <w:abstractNumId w:val="16"/>
  </w:num>
  <w:num w:numId="15" w16cid:durableId="197744423">
    <w:abstractNumId w:val="4"/>
  </w:num>
  <w:num w:numId="16" w16cid:durableId="2054570649">
    <w:abstractNumId w:val="9"/>
  </w:num>
  <w:num w:numId="17" w16cid:durableId="8558457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880"/>
    <w:rsid w:val="001B42A6"/>
    <w:rsid w:val="002718DE"/>
    <w:rsid w:val="007343C8"/>
    <w:rsid w:val="008301FF"/>
    <w:rsid w:val="00853C57"/>
    <w:rsid w:val="00994240"/>
    <w:rsid w:val="009B5575"/>
    <w:rsid w:val="00B63C6F"/>
    <w:rsid w:val="00BB6880"/>
    <w:rsid w:val="00D5210D"/>
    <w:rsid w:val="00E236FC"/>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D9287F0"/>
  <w15:chartTrackingRefBased/>
  <w15:docId w15:val="{87D55B78-D9FF-4007-916D-AC3A7D184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880"/>
    <w:rPr>
      <w:rFonts w:eastAsiaTheme="majorEastAsia" w:cstheme="majorBidi"/>
      <w:color w:val="272727" w:themeColor="text1" w:themeTint="D8"/>
    </w:rPr>
  </w:style>
  <w:style w:type="paragraph" w:styleId="Title">
    <w:name w:val="Title"/>
    <w:basedOn w:val="Normal"/>
    <w:next w:val="Normal"/>
    <w:link w:val="TitleChar"/>
    <w:uiPriority w:val="10"/>
    <w:qFormat/>
    <w:rsid w:val="00BB6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880"/>
    <w:pPr>
      <w:spacing w:before="160"/>
      <w:jc w:val="center"/>
    </w:pPr>
    <w:rPr>
      <w:i/>
      <w:iCs/>
      <w:color w:val="404040" w:themeColor="text1" w:themeTint="BF"/>
    </w:rPr>
  </w:style>
  <w:style w:type="character" w:customStyle="1" w:styleId="QuoteChar">
    <w:name w:val="Quote Char"/>
    <w:basedOn w:val="DefaultParagraphFont"/>
    <w:link w:val="Quote"/>
    <w:uiPriority w:val="29"/>
    <w:rsid w:val="00BB6880"/>
    <w:rPr>
      <w:i/>
      <w:iCs/>
      <w:color w:val="404040" w:themeColor="text1" w:themeTint="BF"/>
    </w:rPr>
  </w:style>
  <w:style w:type="paragraph" w:styleId="ListParagraph">
    <w:name w:val="List Paragraph"/>
    <w:basedOn w:val="Normal"/>
    <w:uiPriority w:val="34"/>
    <w:qFormat/>
    <w:rsid w:val="00BB6880"/>
    <w:pPr>
      <w:ind w:left="720"/>
      <w:contextualSpacing/>
    </w:pPr>
  </w:style>
  <w:style w:type="character" w:styleId="IntenseEmphasis">
    <w:name w:val="Intense Emphasis"/>
    <w:basedOn w:val="DefaultParagraphFont"/>
    <w:uiPriority w:val="21"/>
    <w:qFormat/>
    <w:rsid w:val="00BB6880"/>
    <w:rPr>
      <w:i/>
      <w:iCs/>
      <w:color w:val="0F4761" w:themeColor="accent1" w:themeShade="BF"/>
    </w:rPr>
  </w:style>
  <w:style w:type="paragraph" w:styleId="IntenseQuote">
    <w:name w:val="Intense Quote"/>
    <w:basedOn w:val="Normal"/>
    <w:next w:val="Normal"/>
    <w:link w:val="IntenseQuoteChar"/>
    <w:uiPriority w:val="30"/>
    <w:qFormat/>
    <w:rsid w:val="00BB6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880"/>
    <w:rPr>
      <w:i/>
      <w:iCs/>
      <w:color w:val="0F4761" w:themeColor="accent1" w:themeShade="BF"/>
    </w:rPr>
  </w:style>
  <w:style w:type="character" w:styleId="IntenseReference">
    <w:name w:val="Intense Reference"/>
    <w:basedOn w:val="DefaultParagraphFont"/>
    <w:uiPriority w:val="32"/>
    <w:qFormat/>
    <w:rsid w:val="00BB6880"/>
    <w:rPr>
      <w:b/>
      <w:bCs/>
      <w:smallCaps/>
      <w:color w:val="0F4761" w:themeColor="accent1" w:themeShade="BF"/>
      <w:spacing w:val="5"/>
    </w:rPr>
  </w:style>
  <w:style w:type="character" w:styleId="Hyperlink">
    <w:name w:val="Hyperlink"/>
    <w:basedOn w:val="DefaultParagraphFont"/>
    <w:uiPriority w:val="99"/>
    <w:semiHidden/>
    <w:unhideWhenUsed/>
    <w:rsid w:val="00853C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3EFA57D7-1AED-4C15-8375-AAC98E46F522}"/>
</file>

<file path=customXml/itemProps2.xml><?xml version="1.0" encoding="utf-8"?>
<ds:datastoreItem xmlns:ds="http://schemas.openxmlformats.org/officeDocument/2006/customXml" ds:itemID="{43473B55-C6BB-40C4-B88A-E06B4E7D5441}"/>
</file>

<file path=customXml/itemProps3.xml><?xml version="1.0" encoding="utf-8"?>
<ds:datastoreItem xmlns:ds="http://schemas.openxmlformats.org/officeDocument/2006/customXml" ds:itemID="{375407F1-EBCA-459C-A0F4-2356FAA8CCBB}"/>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6</TotalTime>
  <Pages>4</Pages>
  <Words>1008</Words>
  <Characters>5585</Characters>
  <Application>Microsoft Office Word</Application>
  <DocSecurity>0</DocSecurity>
  <Lines>118</Lines>
  <Paragraphs>50</Paragraphs>
  <ScaleCrop>false</ScaleCrop>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7</cp:revision>
  <dcterms:created xsi:type="dcterms:W3CDTF">2026-04-08T15:31:00Z</dcterms:created>
  <dcterms:modified xsi:type="dcterms:W3CDTF">2026-04-09T14:43:00Z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