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384"/>
        <w:gridCol w:w="7688"/>
      </w:tblGrid>
      <w:tr w:rsidR="00407FE4" w:rsidRPr="00E72199" w14:paraId="5FD7EEC8" w14:textId="77777777" w:rsidTr="00CB614B">
        <w:trPr>
          <w:trHeight w:val="1544"/>
        </w:trPr>
        <w:tc>
          <w:tcPr>
            <w:tcW w:w="763" w:type="pct"/>
          </w:tcPr>
          <w:p w14:paraId="2E480BDD" w14:textId="77777777" w:rsidR="00407FE4" w:rsidRPr="00E44667" w:rsidRDefault="00407FE4" w:rsidP="00CB614B">
            <w:pPr>
              <w:tabs>
                <w:tab w:val="left" w:pos="0"/>
              </w:tabs>
              <w:spacing w:line="360" w:lineRule="auto"/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  <w:lang w:eastAsia="bg-BG"/>
              </w:rPr>
              <w:drawing>
                <wp:inline distT="0" distB="0" distL="0" distR="0" wp14:anchorId="118DD587" wp14:editId="09454675">
                  <wp:extent cx="914400" cy="895350"/>
                  <wp:effectExtent l="0" t="0" r="0" b="0"/>
                  <wp:docPr id="3" name="Картина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14:paraId="1CFBEB23" w14:textId="77777777" w:rsidR="00407FE4" w:rsidRPr="00E44667" w:rsidRDefault="00407FE4" w:rsidP="00CB614B">
            <w:pPr>
              <w:tabs>
                <w:tab w:val="left" w:pos="0"/>
              </w:tabs>
              <w:spacing w:before="240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14:paraId="07786CFE" w14:textId="77777777" w:rsidR="00407FE4" w:rsidRDefault="00407FE4" w:rsidP="00CB614B">
            <w:pPr>
              <w:tabs>
                <w:tab w:val="left" w:pos="0"/>
              </w:tabs>
              <w:rPr>
                <w:noProof/>
              </w:rPr>
            </w:pPr>
            <w:r>
              <w:rPr>
                <w:noProof/>
                <w:lang w:eastAsia="bg-BG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1ACA2A3" wp14:editId="16E82088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1E7D3E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" strokeweight="2.25pt"/>
                  </w:pict>
                </mc:Fallback>
              </mc:AlternateContent>
            </w:r>
          </w:p>
          <w:p w14:paraId="31FA067E" w14:textId="77777777" w:rsidR="00407FE4" w:rsidRPr="00E72199" w:rsidRDefault="00407FE4" w:rsidP="00CB614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ФАКУЛТЕТ </w:t>
            </w:r>
            <w:r w:rsidRPr="00E72199">
              <w:rPr>
                <w:b/>
                <w:sz w:val="28"/>
                <w:szCs w:val="28"/>
              </w:rPr>
              <w:t xml:space="preserve">КОМПЮТЪРНИ СИСТЕМИ И </w:t>
            </w:r>
            <w:r>
              <w:rPr>
                <w:b/>
                <w:sz w:val="28"/>
                <w:szCs w:val="28"/>
              </w:rPr>
              <w:t>ТЕХНОЛОГИИ</w:t>
            </w:r>
          </w:p>
        </w:tc>
      </w:tr>
    </w:tbl>
    <w:p w14:paraId="79F054C8" w14:textId="77777777" w:rsidR="00407FE4" w:rsidRPr="00894052" w:rsidRDefault="00407FE4" w:rsidP="00407FE4">
      <w:pPr>
        <w:tabs>
          <w:tab w:val="left" w:pos="0"/>
        </w:tabs>
        <w:rPr>
          <w:b/>
          <w:noProof/>
        </w:rPr>
      </w:pPr>
    </w:p>
    <w:p w14:paraId="13F16C9A" w14:textId="77777777" w:rsidR="00407FE4" w:rsidRPr="00DE0EFA" w:rsidRDefault="00407FE4" w:rsidP="00407FE4">
      <w:pPr>
        <w:tabs>
          <w:tab w:val="left" w:pos="0"/>
        </w:tabs>
        <w:rPr>
          <w:b/>
          <w:sz w:val="32"/>
          <w:szCs w:val="32"/>
        </w:rPr>
      </w:pPr>
    </w:p>
    <w:p w14:paraId="2FE011A9" w14:textId="77777777" w:rsidR="00407FE4" w:rsidRPr="00DE0EFA" w:rsidRDefault="00407FE4" w:rsidP="00407FE4">
      <w:pPr>
        <w:tabs>
          <w:tab w:val="left" w:pos="0"/>
        </w:tabs>
        <w:rPr>
          <w:b/>
          <w:sz w:val="32"/>
          <w:szCs w:val="32"/>
        </w:rPr>
      </w:pPr>
    </w:p>
    <w:p w14:paraId="42123F56" w14:textId="77777777" w:rsidR="00407FE4" w:rsidRPr="00DE0EFA" w:rsidRDefault="00407FE4" w:rsidP="00407FE4">
      <w:pPr>
        <w:tabs>
          <w:tab w:val="left" w:pos="0"/>
        </w:tabs>
      </w:pPr>
    </w:p>
    <w:p w14:paraId="51148FE5" w14:textId="77777777" w:rsidR="00407FE4" w:rsidRPr="00DE0EFA" w:rsidRDefault="00407FE4" w:rsidP="00407FE4">
      <w:pPr>
        <w:tabs>
          <w:tab w:val="left" w:pos="0"/>
        </w:tabs>
        <w:jc w:val="center"/>
        <w:rPr>
          <w:b/>
          <w:sz w:val="52"/>
          <w:szCs w:val="52"/>
          <w:lang w:val="ru-RU"/>
        </w:rPr>
      </w:pPr>
    </w:p>
    <w:p w14:paraId="1CE1333D" w14:textId="77777777" w:rsidR="00407FE4" w:rsidRPr="00BD3AE9" w:rsidRDefault="00407FE4" w:rsidP="00407FE4">
      <w:pPr>
        <w:jc w:val="center"/>
        <w:rPr>
          <w:sz w:val="32"/>
          <w:szCs w:val="32"/>
        </w:rPr>
      </w:pPr>
      <w:r>
        <w:rPr>
          <w:rFonts w:ascii="Constantia" w:hAnsi="Constantia"/>
          <w:b/>
          <w:caps/>
          <w:sz w:val="56"/>
          <w:szCs w:val="56"/>
        </w:rPr>
        <w:t xml:space="preserve">ПРОТОКОЛ № </w:t>
      </w:r>
      <w:r w:rsidR="00B27354">
        <w:rPr>
          <w:rFonts w:ascii="Constantia" w:hAnsi="Constantia"/>
          <w:b/>
          <w:caps/>
          <w:sz w:val="72"/>
          <w:szCs w:val="72"/>
        </w:rPr>
        <w:t>3</w:t>
      </w:r>
    </w:p>
    <w:p w14:paraId="067765FC" w14:textId="77777777" w:rsidR="00407FE4" w:rsidRPr="005E4CF5" w:rsidRDefault="00407FE4" w:rsidP="00407FE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„Сигнали и системи”</w:t>
      </w:r>
    </w:p>
    <w:p w14:paraId="2D901837" w14:textId="77777777" w:rsidR="00407FE4" w:rsidRPr="00BD3AE9" w:rsidRDefault="00407FE4" w:rsidP="00407FE4">
      <w:pPr>
        <w:tabs>
          <w:tab w:val="left" w:pos="0"/>
        </w:tabs>
      </w:pPr>
    </w:p>
    <w:p w14:paraId="0BFDBB25" w14:textId="77777777" w:rsidR="00407FE4" w:rsidRPr="00DE0EFA" w:rsidRDefault="00407FE4" w:rsidP="00407FE4">
      <w:pPr>
        <w:tabs>
          <w:tab w:val="left" w:pos="0"/>
        </w:tabs>
        <w:rPr>
          <w:lang w:val="ru-RU"/>
        </w:rPr>
      </w:pPr>
    </w:p>
    <w:p w14:paraId="200120A8" w14:textId="77777777" w:rsidR="00407FE4" w:rsidRPr="00DE0EFA" w:rsidRDefault="00407FE4" w:rsidP="00407FE4">
      <w:pPr>
        <w:tabs>
          <w:tab w:val="left" w:pos="0"/>
        </w:tabs>
        <w:rPr>
          <w:lang w:val="ru-RU"/>
        </w:rPr>
      </w:pPr>
    </w:p>
    <w:p w14:paraId="664E98EE" w14:textId="77777777" w:rsidR="00407FE4" w:rsidRDefault="00407FE4" w:rsidP="00407FE4">
      <w:pPr>
        <w:tabs>
          <w:tab w:val="left" w:pos="426"/>
        </w:tabs>
        <w:ind w:left="426"/>
        <w:jc w:val="both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Изготвил</w:t>
      </w:r>
      <w:r w:rsidRPr="002E405C">
        <w:rPr>
          <w:i/>
          <w:sz w:val="28"/>
          <w:szCs w:val="28"/>
        </w:rPr>
        <w:t>: Йордан Начев</w:t>
      </w:r>
    </w:p>
    <w:p w14:paraId="704DE2BC" w14:textId="24E8346D" w:rsidR="00407FE4" w:rsidRPr="0032464C" w:rsidRDefault="00407FE4" w:rsidP="00407FE4">
      <w:pPr>
        <w:tabs>
          <w:tab w:val="left" w:pos="426"/>
        </w:tabs>
        <w:ind w:left="426"/>
        <w:jc w:val="both"/>
        <w:rPr>
          <w:iCs/>
          <w:sz w:val="28"/>
          <w:szCs w:val="28"/>
        </w:rPr>
      </w:pPr>
    </w:p>
    <w:p w14:paraId="7700454C" w14:textId="7B300473" w:rsidR="00407FE4" w:rsidRDefault="00407FE4" w:rsidP="00407FE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Фак. № 121224053</w:t>
      </w:r>
    </w:p>
    <w:p w14:paraId="606F7050" w14:textId="7C279B39" w:rsidR="00407FE4" w:rsidRPr="00BD3AE9" w:rsidRDefault="00407FE4" w:rsidP="00407FE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Група: </w:t>
      </w:r>
      <w:r w:rsidRPr="0099727D">
        <w:rPr>
          <w:color w:val="000000" w:themeColor="text1"/>
          <w:sz w:val="28"/>
          <w:szCs w:val="28"/>
        </w:rPr>
        <w:t>43</w:t>
      </w:r>
    </w:p>
    <w:p w14:paraId="2E34A912" w14:textId="77777777" w:rsidR="00407FE4" w:rsidRPr="00766509" w:rsidRDefault="00407FE4" w:rsidP="00407FE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II курс, </w:t>
      </w:r>
      <w:r w:rsidRPr="00766509">
        <w:rPr>
          <w:sz w:val="28"/>
          <w:szCs w:val="28"/>
        </w:rPr>
        <w:t>КСИ</w:t>
      </w:r>
    </w:p>
    <w:p w14:paraId="3546E29E" w14:textId="77777777" w:rsidR="00407FE4" w:rsidRPr="00BD3AE9" w:rsidRDefault="00407FE4" w:rsidP="00407FE4">
      <w:pPr>
        <w:tabs>
          <w:tab w:val="left" w:pos="0"/>
        </w:tabs>
        <w:rPr>
          <w:b/>
          <w:i/>
          <w:sz w:val="28"/>
          <w:szCs w:val="28"/>
        </w:rPr>
      </w:pPr>
    </w:p>
    <w:p w14:paraId="7B70A162" w14:textId="77777777" w:rsidR="00407FE4" w:rsidRPr="00BD3AE9" w:rsidRDefault="00407FE4" w:rsidP="00407FE4">
      <w:pPr>
        <w:tabs>
          <w:tab w:val="left" w:pos="0"/>
        </w:tabs>
      </w:pPr>
    </w:p>
    <w:p w14:paraId="2AEC3293" w14:textId="77777777" w:rsidR="00407FE4" w:rsidRPr="002B6ED9" w:rsidRDefault="00407FE4" w:rsidP="00407FE4">
      <w:pPr>
        <w:tabs>
          <w:tab w:val="left" w:pos="0"/>
        </w:tabs>
        <w:rPr>
          <w:lang w:val="ru-RU"/>
        </w:rPr>
      </w:pPr>
    </w:p>
    <w:p w14:paraId="425D028D" w14:textId="77777777" w:rsidR="00407FE4" w:rsidRDefault="00407FE4" w:rsidP="00407FE4">
      <w:pPr>
        <w:tabs>
          <w:tab w:val="left" w:pos="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София, 20</w:t>
      </w:r>
      <w:r>
        <w:rPr>
          <w:b/>
          <w:sz w:val="28"/>
          <w:szCs w:val="28"/>
        </w:rPr>
        <w:t>26</w:t>
      </w:r>
    </w:p>
    <w:p w14:paraId="0537AA33" w14:textId="77777777" w:rsidR="00407FE4" w:rsidRPr="00407FE4" w:rsidRDefault="00407FE4"/>
    <w:p w14:paraId="43892B3D" w14:textId="77777777" w:rsidR="00EB75F8" w:rsidRDefault="00407FE4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2FA24D71" wp14:editId="0081B9A7">
            <wp:extent cx="5759450" cy="2838450"/>
            <wp:effectExtent l="0" t="0" r="0" b="0"/>
            <wp:docPr id="1" name="Picture 1" descr="C:\Users\Student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4396">
        <w:rPr>
          <w:noProof/>
          <w:lang w:val="en-US"/>
        </w:rPr>
        <w:pict w14:anchorId="596247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alt="" style="width:452.55pt;height:303.45pt;mso-width-percent:0;mso-height-percent:0;mso-width-percent:0;mso-height-percent:0">
            <v:imagedata r:id="rId7" o:title="2"/>
          </v:shape>
        </w:pict>
      </w:r>
    </w:p>
    <w:p w14:paraId="004C8C4B" w14:textId="77777777" w:rsidR="00407FE4" w:rsidRDefault="00407FE4">
      <w:pPr>
        <w:rPr>
          <w:lang w:val="en-US"/>
        </w:rPr>
      </w:pPr>
      <w:r w:rsidRPr="00407FE4">
        <w:rPr>
          <w:noProof/>
          <w:lang w:eastAsia="bg-BG"/>
        </w:rPr>
        <w:lastRenderedPageBreak/>
        <w:drawing>
          <wp:inline distT="0" distB="0" distL="0" distR="0" wp14:anchorId="4C51BA40" wp14:editId="7663076F">
            <wp:extent cx="5760720" cy="2827093"/>
            <wp:effectExtent l="0" t="0" r="0" b="0"/>
            <wp:docPr id="4" name="Picture 4" descr="C:\Users\Student\Pictures\Protokol3\1Shem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tudent\Pictures\Protokol3\1Shema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D784" w14:textId="77777777" w:rsidR="00407A0D" w:rsidRDefault="00407A0D">
      <w:pPr>
        <w:rPr>
          <w:lang w:val="en-US"/>
        </w:rPr>
      </w:pPr>
    </w:p>
    <w:p w14:paraId="358E9442" w14:textId="77777777" w:rsidR="00407A0D" w:rsidRDefault="00407A0D">
      <w:pPr>
        <w:rPr>
          <w:lang w:val="en-US"/>
        </w:rPr>
      </w:pPr>
    </w:p>
    <w:p w14:paraId="39DA7DC0" w14:textId="77777777" w:rsidR="00407A0D" w:rsidRDefault="00407A0D">
      <w:pPr>
        <w:rPr>
          <w:lang w:val="en-US"/>
        </w:rPr>
      </w:pPr>
    </w:p>
    <w:p w14:paraId="0E170FA3" w14:textId="77777777" w:rsidR="00407A0D" w:rsidRDefault="00407A0D">
      <w:pPr>
        <w:rPr>
          <w:lang w:val="en-US"/>
        </w:rPr>
      </w:pPr>
    </w:p>
    <w:p w14:paraId="25BF8E5F" w14:textId="77777777" w:rsidR="00407A0D" w:rsidRDefault="000D4396">
      <w:pPr>
        <w:rPr>
          <w:lang w:val="en-US"/>
        </w:rPr>
      </w:pPr>
      <w:r>
        <w:rPr>
          <w:noProof/>
          <w:lang w:val="en-US"/>
        </w:rPr>
        <w:pict w14:anchorId="6FA79169">
          <v:shape id="_x0000_i1041" type="#_x0000_t75" alt="" style="width:453.45pt;height:354pt;mso-width-percent:0;mso-height-percent:0;mso-width-percent:0;mso-height-percent:0">
            <v:imagedata r:id="rId9" o:title="Capture"/>
          </v:shape>
        </w:pict>
      </w:r>
    </w:p>
    <w:p w14:paraId="40C5A828" w14:textId="77777777" w:rsidR="00407A0D" w:rsidRDefault="000D4396">
      <w:pPr>
        <w:rPr>
          <w:lang w:val="en-US"/>
        </w:rPr>
      </w:pPr>
      <w:r>
        <w:rPr>
          <w:noProof/>
          <w:lang w:val="en-US"/>
        </w:rPr>
        <w:lastRenderedPageBreak/>
        <w:pict w14:anchorId="005CD9A2">
          <v:shape id="_x0000_i1040" type="#_x0000_t75" alt="" style="width:452.55pt;height:342pt;mso-width-percent:0;mso-height-percent:0;mso-width-percent:0;mso-height-percent:0">
            <v:imagedata r:id="rId10" o:title="Capture2"/>
          </v:shape>
        </w:pict>
      </w:r>
    </w:p>
    <w:p w14:paraId="79D0D19B" w14:textId="77777777" w:rsidR="00407A0D" w:rsidRPr="00EB2174" w:rsidRDefault="00407A0D">
      <w:pPr>
        <w:rPr>
          <w:sz w:val="32"/>
        </w:rPr>
      </w:pPr>
      <w:r w:rsidRPr="00EB2174">
        <w:rPr>
          <w:sz w:val="32"/>
        </w:rPr>
        <w:t>Увеличаването на коефициента на амплитудна модулация води до по-силно изразена промяна в амплитудата на амплитудно-модулирания сигнал.</w:t>
      </w:r>
    </w:p>
    <w:p w14:paraId="5B0627A9" w14:textId="77777777" w:rsidR="00407A0D" w:rsidRDefault="000D4396">
      <w:r>
        <w:rPr>
          <w:noProof/>
        </w:rPr>
        <w:pict w14:anchorId="6A66A4EE">
          <v:shape id="_x0000_i1039" type="#_x0000_t75" alt="" style="width:452.55pt;height:228.85pt;mso-width-percent:0;mso-height-percent:0;mso-width-percent:0;mso-height-percent:0">
            <v:imagedata r:id="rId11" o:title="3"/>
          </v:shape>
        </w:pict>
      </w:r>
    </w:p>
    <w:p w14:paraId="162C5E15" w14:textId="77777777" w:rsidR="00407A0D" w:rsidRPr="00EB2174" w:rsidRDefault="00407A0D">
      <w:pPr>
        <w:rPr>
          <w:sz w:val="32"/>
          <w:lang w:val="en-US"/>
        </w:rPr>
      </w:pPr>
      <w:r w:rsidRPr="00EB2174">
        <w:rPr>
          <w:sz w:val="32"/>
        </w:rPr>
        <w:t>Когато коефициентът на амплитудна модулация надвишава единица, демодулираният в приемника сигнал се различава от излъчения. Този режим е известен като премодулация и не намира практическо приложение.</w:t>
      </w:r>
    </w:p>
    <w:p w14:paraId="3F21FD62" w14:textId="77777777" w:rsidR="00407A0D" w:rsidRDefault="000D4396">
      <w:pPr>
        <w:rPr>
          <w:sz w:val="28"/>
          <w:lang w:val="en-US"/>
        </w:rPr>
      </w:pPr>
      <w:r>
        <w:rPr>
          <w:noProof/>
          <w:sz w:val="28"/>
          <w:lang w:val="en-US"/>
        </w:rPr>
        <w:pict w14:anchorId="62CE7E96">
          <v:shape id="_x0000_i1038" type="#_x0000_t75" alt="" style="width:454.3pt;height:440.55pt;mso-width-percent:0;mso-height-percent:0;mso-width-percent:0;mso-height-percent:0">
            <v:imagedata r:id="rId12" o:title="4"/>
          </v:shape>
        </w:pict>
      </w:r>
    </w:p>
    <w:p w14:paraId="16026375" w14:textId="77777777" w:rsidR="004B636F" w:rsidRPr="00EB2174" w:rsidRDefault="004B636F">
      <w:pPr>
        <w:rPr>
          <w:sz w:val="32"/>
        </w:rPr>
      </w:pPr>
      <w:r w:rsidRPr="00EB2174">
        <w:rPr>
          <w:sz w:val="32"/>
        </w:rPr>
        <w:t>Повишаването на честотата на носещото трептение води до транслиране (пренасяне) на спектъра на АМ сигнала към по-висока честотна област.</w:t>
      </w:r>
    </w:p>
    <w:p w14:paraId="74AE4496" w14:textId="77777777" w:rsidR="004B636F" w:rsidRDefault="004B636F">
      <w:pPr>
        <w:rPr>
          <w:sz w:val="28"/>
        </w:rPr>
      </w:pPr>
    </w:p>
    <w:p w14:paraId="5C8A1A76" w14:textId="77777777" w:rsidR="004B636F" w:rsidRDefault="000D4396">
      <w:pPr>
        <w:rPr>
          <w:sz w:val="28"/>
        </w:rPr>
      </w:pPr>
      <w:r>
        <w:rPr>
          <w:noProof/>
          <w:sz w:val="28"/>
        </w:rPr>
        <w:lastRenderedPageBreak/>
        <w:pict w14:anchorId="5678D571">
          <v:shape id="_x0000_i1037" type="#_x0000_t75" alt="" style="width:453.45pt;height:462.85pt;mso-width-percent:0;mso-height-percent:0;mso-width-percent:0;mso-height-percent:0">
            <v:imagedata r:id="rId13" o:title="5"/>
          </v:shape>
        </w:pict>
      </w:r>
    </w:p>
    <w:p w14:paraId="39261754" w14:textId="77777777" w:rsidR="004B636F" w:rsidRPr="00EB2174" w:rsidRDefault="004B636F">
      <w:pPr>
        <w:rPr>
          <w:sz w:val="32"/>
        </w:rPr>
      </w:pPr>
      <w:r w:rsidRPr="00EB2174">
        <w:rPr>
          <w:sz w:val="32"/>
        </w:rPr>
        <w:t>При нарастване на честотата на информационния сигнал спектърът се разширява.</w:t>
      </w:r>
    </w:p>
    <w:p w14:paraId="0559D207" w14:textId="77777777" w:rsidR="004B636F" w:rsidRDefault="000D4396">
      <w:pPr>
        <w:rPr>
          <w:sz w:val="28"/>
          <w:lang w:val="en-US"/>
        </w:rPr>
      </w:pPr>
      <w:r>
        <w:rPr>
          <w:noProof/>
          <w:sz w:val="28"/>
          <w:lang w:val="en-US"/>
        </w:rPr>
        <w:lastRenderedPageBreak/>
        <w:pict w14:anchorId="5630B7D9">
          <v:shape id="_x0000_i1036" type="#_x0000_t75" alt="" style="width:453.45pt;height:225.45pt;mso-width-percent:0;mso-height-percent:0;mso-width-percent:0;mso-height-percent:0">
            <v:imagedata r:id="rId14" o:title="6"/>
          </v:shape>
        </w:pict>
      </w:r>
    </w:p>
    <w:p w14:paraId="61DB0838" w14:textId="77777777" w:rsidR="00EB2174" w:rsidRDefault="004B636F">
      <w:pPr>
        <w:rPr>
          <w:sz w:val="28"/>
        </w:rPr>
      </w:pPr>
      <w:r w:rsidRPr="00EB2174">
        <w:rPr>
          <w:sz w:val="32"/>
        </w:rPr>
        <w:t>Ако информационният сигнал не е хармонично трептение (т.е. не е синусова или косинусова функция), то от двете страни на носещата компонента в спектъра на АМ сигнала се пренася целият спектър на информационния сигнал.</w:t>
      </w:r>
      <w:r w:rsidR="00EB2174" w:rsidRPr="00EB2174">
        <w:rPr>
          <w:noProof/>
          <w:sz w:val="32"/>
          <w:lang w:eastAsia="bg-BG"/>
        </w:rPr>
      </w:r>
      <w:r w:rsidR="00EB2174">
        <w:rPr>
          <w:noProof/>
          <w:sz w:val="28"/>
          <w:lang w:eastAsia="bg-BG"/>
        </w:rPr>
      </w:r>
    </w:p>
    <w:p w14:paraId="2AD73698" w14:textId="77777777" w:rsidR="004B636F" w:rsidRDefault="000D4396">
      <w:pPr>
        <w:rPr>
          <w:sz w:val="28"/>
        </w:rPr>
      </w:pPr>
      <w:r>
        <w:rPr>
          <w:noProof/>
          <w:sz w:val="28"/>
        </w:rPr>
        <w:lastRenderedPageBreak/>
        <w:pict w14:anchorId="40903CEA">
          <v:shape id="_x0000_i1035" type="#_x0000_t75" alt="" style="width:453.45pt;height:224.55pt;mso-width-percent:0;mso-height-percent:0;mso-width-percent:0;mso-height-percent:0">
            <v:imagedata r:id="rId16" o:title="8"/>
          </v:shape>
        </w:pict>
      </w:r>
    </w:p>
    <w:p w14:paraId="1D562E6D" w14:textId="77777777" w:rsidR="00EB2174" w:rsidRDefault="00EB2174">
      <w:pPr>
        <w:rPr>
          <w:sz w:val="32"/>
          <w:lang w:val="en-US"/>
        </w:rPr>
      </w:pPr>
      <w:r w:rsidRPr="00EB2174">
        <w:rPr>
          <w:sz w:val="32"/>
        </w:rPr>
        <w:t>Амплитудната модулация се отличава с ниска шумоустойчивост, тъй като шумът се пренася непосредствено върху възстановения сигнал.</w:t>
      </w:r>
      <w:r w:rsidR="000D4396">
        <w:rPr>
          <w:noProof/>
          <w:sz w:val="32"/>
          <w:lang w:val="en-US"/>
        </w:rPr>
      </w:r>
    </w:p>
    <w:p w14:paraId="0E3FD0D6" w14:textId="77777777" w:rsidR="00EB2174" w:rsidRDefault="00EB2174">
      <w:pPr>
        <w:rPr>
          <w:sz w:val="32"/>
        </w:rPr>
      </w:pPr>
      <w:r>
        <w:rPr>
          <w:sz w:val="32"/>
        </w:rPr>
        <w:t>При БАМ (балансна амплитудна модулация) от спектъра на АМ сигнала се отстранява носещата компонента, което повишава енергийната ефективност, но същевременно затруднява демодулацията на приетия сигнал със стандартен демодулатор.</w:t>
      </w:r>
    </w:p>
    <w:p w14:paraId="413B4EED" w14:textId="77777777" w:rsidR="00A56BF3" w:rsidRDefault="00A56BF3">
      <w:pPr>
        <w:rPr>
          <w:sz w:val="32"/>
        </w:rPr>
      </w:pPr>
      <w:r>
        <w:rPr>
          <w:noProof/>
          <w:sz w:val="32"/>
          <w:lang w:eastAsia="bg-BG"/>
        </w:rPr>
        <w:lastRenderedPageBreak/>
        <w:drawing>
          <wp:inline distT="0" distB="0" distL="0" distR="0" wp14:anchorId="48F12C8D" wp14:editId="6746FA22">
            <wp:extent cx="5759450" cy="2636520"/>
            <wp:effectExtent l="0" t="0" r="0" b="0"/>
            <wp:docPr id="7" name="Picture 7" descr="C:\Users\Student\AppData\Local\Microsoft\Windows\INetCache\Content.Word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Student\AppData\Local\Microsoft\Windows\INetCache\Content.Word\10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4396">
        <w:rPr>
          <w:noProof/>
          <w:sz w:val="32"/>
        </w:rPr>
        <w:pict w14:anchorId="4A491787">
          <v:shape id="_x0000_i1033" type="#_x0000_t75" alt="" style="width:453.45pt;height:468pt;mso-width-percent:0;mso-height-percent:0;mso-width-percent:0;mso-height-percent:0">
            <v:imagedata r:id="rId19" o:title="11"/>
          </v:shape>
        </w:pict>
      </w:r>
    </w:p>
    <w:p w14:paraId="1B4FA1E2" w14:textId="77777777" w:rsidR="00A56BF3" w:rsidRDefault="00A56BF3">
      <w:pPr>
        <w:rPr>
          <w:sz w:val="32"/>
        </w:rPr>
      </w:pPr>
      <w:r>
        <w:rPr>
          <w:sz w:val="32"/>
        </w:rPr>
        <w:t>Използването на демодулатор с възстановяване на носещото трептение позволява прилагането на БАМ без затруднения.</w:t>
      </w:r>
    </w:p>
    <w:p w14:paraId="59020F07" w14:textId="77777777" w:rsidR="00A56BF3" w:rsidRDefault="000D4396">
      <w:pPr>
        <w:rPr>
          <w:sz w:val="32"/>
        </w:rPr>
      </w:pPr>
      <w:r>
        <w:rPr>
          <w:noProof/>
          <w:sz w:val="32"/>
        </w:rPr>
        <w:pict w14:anchorId="4659EE96">
          <v:shape id="_x0000_i1032" type="#_x0000_t75" alt="" style="width:454.3pt;height:224.55pt;mso-width-percent:0;mso-height-percent:0;mso-width-percent:0;mso-height-percent:0">
            <v:imagedata r:id="rId20" o:title="12"/>
          </v:shape>
        </w:pict>
      </w:r>
    </w:p>
    <w:p w14:paraId="3F0754A9" w14:textId="77777777" w:rsidR="00A56BF3" w:rsidRDefault="000D4396">
      <w:pPr>
        <w:rPr>
          <w:sz w:val="32"/>
        </w:rPr>
      </w:pPr>
      <w:r>
        <w:rPr>
          <w:noProof/>
          <w:sz w:val="32"/>
        </w:rPr>
        <w:pict w14:anchorId="0A84A929">
          <v:shape id="_x0000_i1031" type="#_x0000_t75" alt="" style="width:453.45pt;height:229.7pt;mso-width-percent:0;mso-height-percent:0;mso-width-percent:0;mso-height-percent:0">
            <v:imagedata r:id="rId21" o:title="13"/>
          </v:shape>
        </w:pict>
      </w:r>
    </w:p>
    <w:p w14:paraId="1747BE6C" w14:textId="77777777" w:rsidR="005B4152" w:rsidRDefault="005B4152">
      <w:pPr>
        <w:rPr>
          <w:sz w:val="32"/>
          <w:lang w:val="en-US"/>
        </w:rPr>
      </w:pPr>
      <w:r>
        <w:rPr>
          <w:sz w:val="32"/>
        </w:rPr>
        <w:t>При ЕАМ (еднолентова амплитудна модулация) от спектъра на АМ сигнала се отстранява една от страничните ленти.</w:t>
      </w:r>
    </w:p>
    <w:p w14:paraId="366105B5" w14:textId="77777777" w:rsidR="001D60C0" w:rsidRDefault="000D4396">
      <w:pPr>
        <w:rPr>
          <w:sz w:val="32"/>
          <w:lang w:val="en-US"/>
        </w:rPr>
      </w:pPr>
      <w:r>
        <w:rPr>
          <w:noProof/>
          <w:sz w:val="32"/>
          <w:lang w:val="en-US"/>
        </w:rPr>
        <w:lastRenderedPageBreak/>
        <w:pict w14:anchorId="7D7651BA">
          <v:shape id="_x0000_i1030" type="#_x0000_t75" alt="" style="width:451.7pt;height:230.55pt;mso-width-percent:0;mso-height-percent:0;mso-width-percent:0;mso-height-percent:0">
            <v:imagedata r:id="rId22" o:title="14"/>
          </v:shape>
        </w:pict>
      </w:r>
    </w:p>
    <w:p w14:paraId="4324CDBD" w14:textId="77777777" w:rsidR="001D60C0" w:rsidRDefault="000D4396">
      <w:pPr>
        <w:rPr>
          <w:sz w:val="32"/>
          <w:lang w:val="en-US"/>
        </w:rPr>
      </w:pPr>
      <w:r>
        <w:rPr>
          <w:noProof/>
          <w:sz w:val="32"/>
          <w:lang w:val="en-US"/>
        </w:rPr>
        <w:pict w14:anchorId="04698B34">
          <v:shape id="_x0000_i1029" type="#_x0000_t75" alt="" style="width:452.55pt;height:459.45pt;mso-width-percent:0;mso-height-percent:0;mso-width-percent:0;mso-height-percent:0">
            <v:imagedata r:id="rId23" o:title="15"/>
          </v:shape>
        </w:pict>
      </w:r>
    </w:p>
    <w:p w14:paraId="75F5B575" w14:textId="77777777" w:rsidR="001D60C0" w:rsidRDefault="000D4396">
      <w:pPr>
        <w:rPr>
          <w:sz w:val="32"/>
          <w:lang w:val="en-US"/>
        </w:rPr>
      </w:pPr>
      <w:r>
        <w:rPr>
          <w:noProof/>
          <w:sz w:val="32"/>
          <w:lang w:val="en-US"/>
        </w:rPr>
        <w:lastRenderedPageBreak/>
        <w:pict w14:anchorId="7FD69E17">
          <v:shape id="_x0000_i1028" type="#_x0000_t75" alt="" style="width:452.55pt;height:228.85pt;mso-width-percent:0;mso-height-percent:0;mso-width-percent:0;mso-height-percent:0">
            <v:imagedata r:id="rId24" o:title="16"/>
          </v:shape>
        </w:pict>
      </w:r>
    </w:p>
    <w:p w14:paraId="6E3F359F" w14:textId="77777777" w:rsidR="001D60C0" w:rsidRDefault="001D60C0">
      <w:pPr>
        <w:rPr>
          <w:sz w:val="32"/>
        </w:rPr>
      </w:pPr>
      <w:r>
        <w:rPr>
          <w:sz w:val="32"/>
        </w:rPr>
        <w:t>При увеличаване на честотната девиация се увеличава и индексът на честотна модулация, което усилва промяната в честотата на честотно-модулирания сигнал. В спектъра се наблюдават следните изменения:</w:t>
      </w:r>
    </w:p>
    <w:p w14:paraId="09F9192A" w14:textId="77777777" w:rsidR="001D60C0" w:rsidRDefault="001D60C0" w:rsidP="001D60C0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Спектърът се разширява</w:t>
      </w:r>
    </w:p>
    <w:p w14:paraId="3447123C" w14:textId="77777777" w:rsidR="001D60C0" w:rsidRDefault="001D60C0" w:rsidP="001D60C0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Броят на съставките нараства</w:t>
      </w:r>
    </w:p>
    <w:p w14:paraId="2593678F" w14:textId="77777777" w:rsidR="002E5EEC" w:rsidRDefault="001D60C0" w:rsidP="002E5EEC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>Разстоянието между две съседни съставки остава непроменено</w:t>
      </w:r>
    </w:p>
    <w:p w14:paraId="22F891AC" w14:textId="77777777" w:rsidR="002E5EEC" w:rsidRDefault="000D4396" w:rsidP="002E5EEC">
      <w:pPr>
        <w:rPr>
          <w:sz w:val="32"/>
        </w:rPr>
      </w:pPr>
      <w:r>
        <w:rPr>
          <w:noProof/>
          <w:sz w:val="32"/>
        </w:rPr>
        <w:lastRenderedPageBreak/>
        <w:pict w14:anchorId="3CEDEC39">
          <v:shape id="_x0000_i1027" type="#_x0000_t75" alt="" style="width:445.7pt;height:578.55pt;mso-width-percent:0;mso-height-percent:0;mso-width-percent:0;mso-height-percent:0">
            <v:imagedata r:id="rId25" o:title="17"/>
          </v:shape>
        </w:pict>
      </w:r>
    </w:p>
    <w:p w14:paraId="34F93A38" w14:textId="272B17B2" w:rsidR="002E5EEC" w:rsidRPr="00117E73" w:rsidRDefault="002E5EEC" w:rsidP="002E5EEC">
      <w:pPr>
        <w:pStyle w:val="ListParagraph"/>
        <w:rPr>
          <w:sz w:val="32"/>
          <w:lang w:val="en-US"/>
        </w:rPr>
      </w:pPr>
      <w:r>
        <w:rPr>
          <w:sz w:val="32"/>
        </w:rPr>
        <w:t>Валидно за ЧМ. Около носещата честота се вижда добре обособен пик, придружен от множество странични съставки, чиито амплитуди намаляват с отдалечаване. Спектърът е разширен и не се ограничава до само една или две честоти.</w:t>
      </w:r>
      <w:r w:rsidR="00117E73">
        <w:rPr>
          <w:sz w:val="32"/>
          <w:lang w:val="en-US"/>
        </w:rPr>
      </w:r>
      <w:r w:rsidR="00117E73" w:rsidRPr="00117E73">
        <w:rPr>
          <w:sz w:val="32"/>
        </w:rPr>
      </w:r>
    </w:p>
    <w:p w14:paraId="583B3BCD" w14:textId="77777777" w:rsidR="002E5EEC" w:rsidRDefault="002E5EEC" w:rsidP="002E5EEC">
      <w:pPr>
        <w:rPr>
          <w:sz w:val="32"/>
        </w:rPr>
      </w:pPr>
    </w:p>
    <w:p w14:paraId="73720FEB" w14:textId="77777777" w:rsidR="002E5EEC" w:rsidRDefault="000D4396" w:rsidP="002E5EEC">
      <w:pPr>
        <w:rPr>
          <w:sz w:val="32"/>
          <w:lang w:val="en-US"/>
        </w:rPr>
      </w:pPr>
      <w:r>
        <w:rPr>
          <w:noProof/>
          <w:sz w:val="32"/>
        </w:rPr>
        <w:pict w14:anchorId="05B2F9B2">
          <v:shape id="_x0000_i1026" type="#_x0000_t75" alt="" style="width:453.45pt;height:596.55pt;mso-width-percent:0;mso-height-percent:0;mso-width-percent:0;mso-height-percent:0">
            <v:imagedata r:id="rId26" o:title="1"/>
          </v:shape>
        </w:pict>
      </w:r>
    </w:p>
    <w:p w14:paraId="1573F69F" w14:textId="7DE60E9A" w:rsidR="00117E73" w:rsidRPr="00117E73" w:rsidRDefault="00117E73" w:rsidP="002E5EEC">
      <w:pPr>
        <w:rPr>
          <w:sz w:val="32"/>
          <w:lang w:val="en-US"/>
        </w:rPr>
      </w:pPr>
      <w:r w:rsidRPr="00117E73">
        <w:rPr>
          <w:sz w:val="32"/>
        </w:rPr>
        <w:t>При нарастване на честотната девиация (или индекса на модулация) спектърът на честотно-модулирания сигнал се разширява и съдържа повече съставки, което повишава шумоустойчивостта, но за сметка на това изисква по-широка честотна лента.</w:t>
      </w:r>
      <w:r w:rsidRPr="00117E73">
        <w:rPr>
          <w:sz w:val="32"/>
        </w:rPr>
      </w:r>
    </w:p>
    <w:p w14:paraId="79D9B283" w14:textId="77777777" w:rsidR="002E5EEC" w:rsidRDefault="000D4396" w:rsidP="002E5EEC">
      <w:pPr>
        <w:rPr>
          <w:sz w:val="32"/>
          <w:lang w:val="en-US"/>
        </w:rPr>
      </w:pPr>
      <w:r>
        <w:rPr>
          <w:noProof/>
          <w:sz w:val="32"/>
        </w:rPr>
        <w:pict w14:anchorId="15FF6751">
          <v:shape id="_x0000_i1025" type="#_x0000_t75" alt="" style="width:453.45pt;height:224.55pt;mso-width-percent:0;mso-height-percent:0;mso-width-percent:0;mso-height-percent:0">
            <v:imagedata r:id="rId27" o:title="2"/>
          </v:shape>
        </w:pict>
      </w:r>
    </w:p>
    <w:p w14:paraId="5F4973C4" w14:textId="2DD03E50" w:rsidR="00117E73" w:rsidRPr="00117E73" w:rsidRDefault="00117E73" w:rsidP="002E5EEC">
      <w:pPr>
        <w:rPr>
          <w:sz w:val="32"/>
          <w:lang w:val="en-US"/>
        </w:rPr>
      </w:pPr>
      <w:r w:rsidRPr="00117E73">
        <w:rPr>
          <w:sz w:val="32"/>
        </w:rPr>
        <w:t>Налице е съответствие между времевото представяне на сигнала и неговия спектър – по-сложната форма на ЧМ сигнала води до появата на множество спектрални съставки. С нарастване на честотната девиация сигналът във времева област става по-наситен, а спектърът се разширява значително.</w:t>
      </w:r>
    </w:p>
    <w:sectPr w:rsidR="00117E73" w:rsidRPr="00117E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92CF1"/>
    <w:multiLevelType w:val="hybridMultilevel"/>
    <w:tmpl w:val="8D7402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7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B06"/>
    <w:rsid w:val="000D4396"/>
    <w:rsid w:val="00114B06"/>
    <w:rsid w:val="00117E73"/>
    <w:rsid w:val="001D60C0"/>
    <w:rsid w:val="002E5EEC"/>
    <w:rsid w:val="0032464C"/>
    <w:rsid w:val="003C19EA"/>
    <w:rsid w:val="00407A0D"/>
    <w:rsid w:val="00407FE4"/>
    <w:rsid w:val="004B636F"/>
    <w:rsid w:val="005B2977"/>
    <w:rsid w:val="005B4152"/>
    <w:rsid w:val="006F176E"/>
    <w:rsid w:val="00836986"/>
    <w:rsid w:val="00A56BF3"/>
    <w:rsid w:val="00B27354"/>
    <w:rsid w:val="00C67D6E"/>
    <w:rsid w:val="00EB2174"/>
    <w:rsid w:val="00EB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28E66"/>
  <w15:chartTrackingRefBased/>
  <w15:docId w15:val="{D6C94B47-5692-4E6C-B104-4F411C5E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0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15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Rosen Plevnenski</cp:lastModifiedBy>
  <cp:revision>6</cp:revision>
  <dcterms:created xsi:type="dcterms:W3CDTF">2026-03-19T08:37:00Z</dcterms:created>
  <dcterms:modified xsi:type="dcterms:W3CDTF">2026-04-29T06:05:00Z</dcterms:modified>
</cp:coreProperties>
</file>