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INFORME TÉCNICO DE AUDITORÍA, DESARROLLO Y LOCALIZACIÓN</w:t>
      </w:r>
    </w:p>
    <w:p>
      <w:r>
        <w:rPr>
          <w:b/>
          <w:bCs/>
        </w:rPr>
        <w:t xml:space="preserve">Proyecto: </w:t>
      </w:r>
      <w:r>
        <w:t xml:space="preserve">IronCore Fitness Guatemala (Sistema de Gestión Integral para Gimnasios)</w:t>
      </w:r>
    </w:p>
    <w:p>
      <w:r>
        <w:rPr>
          <w:b/>
          <w:bCs/>
        </w:rPr>
        <w:t xml:space="preserve">Fecha: </w:t>
      </w:r>
      <w:r>
        <w:t xml:space="preserve">16 de octubre de 2026</w:t>
      </w:r>
    </w:p>
    <w:p>
      <w:pPr>
        <w:spacing w:after="300"/>
      </w:pPr>
      <w:r>
        <w:rPr>
          <w:b/>
          <w:bCs/>
        </w:rPr>
        <w:t xml:space="preserve">Entorno: </w:t>
      </w:r>
      <w:r>
        <w:t xml:space="preserve">React SPA · Vite · TypeScript · TanStack Router &amp; Query · Tailwind CSS</w:t>
      </w:r>
    </w:p>
    <w:p>
      <w:pPr>
        <w:pStyle w:val="Heading1"/>
        <w:spacing w:after="120" w:before="200"/>
      </w:pPr>
      <w:r>
        <w:t xml:space="preserve">1. INFORME DE EVIDENCIAS</w:t>
      </w:r>
    </w:p>
    <w:p>
      <w:pPr>
        <w:spacing w:after="120"/>
      </w:pPr>
      <w:r>
        <w:rPr>
          <w:b/>
          <w:bCs/>
        </w:rPr>
        <w:t xml:space="preserve">• Falla de exportación XLSX: </w:t>
      </w:r>
      <w:r>
        <w:t xml:space="preserve">Al hacer clic en el botón XLSX en las distintas pantallas del sistema, el navegador no disparaba ninguna descarga. El análisis técnico confirmó que la función constructora de write-excel-file/browser devolvía un objeto con métodos toBlob() y toFile() sin resolver el blob ni invocar el elemento de descarga en el DOM.</w:t>
      </w:r>
    </w:p>
    <w:p>
      <w:pPr>
        <w:spacing w:after="120"/>
      </w:pPr>
      <w:r>
        <w:rPr>
          <w:b/>
          <w:bCs/>
        </w:rPr>
        <w:t xml:space="preserve">• Conflicto con window.fetch: </w:t>
      </w:r>
      <w:r>
        <w:t xml:space="preserve">Se detectó la excepción TypeError: Cannot set property fetch of #&lt;Window&gt; which has only a getter ocasionada por extensiones de Chrome/navegador o proxies que intentaban sobreescribir window.fetch sin existir un setter en el descriptor del objeto global.</w:t>
      </w:r>
    </w:p>
    <w:p>
      <w:pPr>
        <w:spacing w:after="300"/>
      </w:pPr>
      <w:r>
        <w:rPr>
          <w:b/>
          <w:bCs/>
        </w:rPr>
        <w:t xml:space="preserve">• Desalineación regional (Moneda e Identificación): </w:t>
      </w:r>
      <w:r>
        <w:t xml:space="preserve">El sistema operaba con referencias a dólares ($), tasas tributarias genéricas, identificación foránea (DNI de 8 dígitos y RFC mexicano) y unidades de peso exclusivamente en kilogramos, requiriendo alineación con las normas comerciales de Guatemala (Quetzales Q, DPI, NIT, IVA 12% y libras).</w:t>
      </w:r>
    </w:p>
    <w:p>
      <w:pPr>
        <w:pStyle w:val="Heading1"/>
        <w:spacing w:after="120" w:before="200"/>
      </w:pPr>
      <w:r>
        <w:t xml:space="preserve">2. INCONSISTENCIAS ENCONTRADAS</w:t>
      </w:r>
    </w:p>
    <w:p>
      <w:pPr>
        <w:spacing w:after="100"/>
      </w:pPr>
      <w:r>
        <w:rPr>
          <w:b/>
          <w:bCs/>
        </w:rPr>
        <w:t xml:space="preserve">1. Desfase de consumo en la API de Excel: </w:t>
      </w:r>
      <w:r>
        <w:t xml:space="preserve">Falta de invocación del método asíncrono toBlob(), ausencia de tipificación por celda y carencia de normalización de columnas entre filas.</w:t>
      </w:r>
    </w:p>
    <w:p>
      <w:pPr>
        <w:spacing w:after="100"/>
      </w:pPr>
      <w:r>
        <w:rPr>
          <w:b/>
          <w:bCs/>
        </w:rPr>
        <w:t xml:space="preserve">2. Ausencia de setter en el objeto window: </w:t>
      </w:r>
      <w:r>
        <w:t xml:space="preserve">Imposibilidad de que interceptores de red o complementos del usuario asignen window.fetch sin generar un error fatal de JavaScript.</w:t>
      </w:r>
    </w:p>
    <w:p>
      <w:pPr>
        <w:spacing w:after="100"/>
      </w:pPr>
      <w:r>
        <w:rPr>
          <w:b/>
          <w:bCs/>
        </w:rPr>
        <w:t xml:space="preserve">3. Precios y denominaciones no representativas: </w:t>
      </w:r>
      <w:r>
        <w:t xml:space="preserve">Membresías con valores no reales de mercado (5 mensual) y botones rápidos en caja POS que no correspondían con los billetes oficiales en circulación de Guatemala.</w:t>
      </w:r>
    </w:p>
    <w:p>
      <w:pPr>
        <w:spacing w:after="300"/>
      </w:pPr>
      <w:r>
        <w:rPr>
          <w:b/>
          <w:bCs/>
        </w:rPr>
        <w:t xml:space="preserve">4. Terminología legal y médica ajena: </w:t>
      </w:r>
      <w:r>
        <w:t xml:space="preserve">Uso de DNI en lugar de DPI (CUI 13 dígitos) y omisión del sistema de libras (lb) habitual en las básculas de gimnasios guatemaltecos.</w:t>
      </w:r>
    </w:p>
    <w:p>
      <w:pPr>
        <w:pStyle w:val="Heading1"/>
        <w:spacing w:after="120" w:before="200"/>
      </w:pPr>
      <w:r>
        <w:t xml:space="preserve">3. MEJORAS REALIZADAS</w:t>
      </w:r>
    </w:p>
    <w:p>
      <w:pPr>
        <w:spacing w:after="60" w:before="100"/>
      </w:pPr>
      <w:r>
        <w:rPr>
          <w:b/>
          <w:bCs/>
          <w:color w:val="0066CC"/>
        </w:rPr>
        <w:t xml:space="preserve">Mejora 1: Reparación del motor de exportación XLSX (Excel)</w:t>
      </w:r>
    </w:p>
    <w:p>
      <w:r>
        <w:rPr>
          <w:b/>
          <w:bCs/>
        </w:rPr>
        <w:t xml:space="preserve">• Problema encontrado: </w:t>
      </w:r>
      <w:r>
        <w:t xml:space="preserve">Los botones XLSX no generaban ni descargaban archivos en ninguna sección.</w:t>
      </w:r>
    </w:p>
    <w:p>
      <w:r>
        <w:rPr>
          <w:b/>
          <w:bCs/>
        </w:rPr>
        <w:t xml:space="preserve">• Cambio solicitado: </w:t>
      </w:r>
      <w:r>
        <w:t xml:space="preserve">Habilitar la generación y descarga efectiva de hojas de cálculo Excel en todas las vistas.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Se implementó la resolución con toBlob(), tipado estricto por celda (texto, número, booleanos), descarga mediante downloadBlob y notificaciones toast de éxito.</w:t>
      </w:r>
    </w:p>
    <w:p>
      <w:pPr>
        <w:spacing w:after="60" w:before="100"/>
      </w:pPr>
      <w:r>
        <w:rPr>
          <w:b/>
          <w:bCs/>
          <w:color w:val="0066CC"/>
        </w:rPr>
        <w:t xml:space="preserve">Mejora 2: Corrección de excepción en window.fetch</w:t>
      </w:r>
    </w:p>
    <w:p>
      <w:r>
        <w:rPr>
          <w:b/>
          <w:bCs/>
        </w:rPr>
        <w:t xml:space="preserve">• Problema encontrado: </w:t>
      </w:r>
      <w:r>
        <w:t xml:space="preserve">Error fatal al cargar por extensiones que intentaban asignar window.fetch.</w:t>
      </w:r>
    </w:p>
    <w:p>
      <w:r>
        <w:rPr>
          <w:b/>
          <w:bCs/>
        </w:rPr>
        <w:t xml:space="preserve">• Cambio solicitado: </w:t>
      </w:r>
      <w:r>
        <w:t xml:space="preserve">Corregir el error para garantizar estabilidad universal.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Se inyectó un shim en index.html con getter y setter configurable en window.fetch, permitiendo la asignación limpia.</w:t>
      </w:r>
    </w:p>
    <w:p>
      <w:pPr>
        <w:spacing w:after="60" w:before="100"/>
      </w:pPr>
      <w:r>
        <w:rPr>
          <w:b/>
          <w:bCs/>
          <w:color w:val="0066CC"/>
        </w:rPr>
        <w:t xml:space="preserve">Mejora 3: Conversión monetaria total a Quetzales (Q / GTQ)</w:t>
      </w:r>
    </w:p>
    <w:p>
      <w:r>
        <w:rPr>
          <w:b/>
          <w:bCs/>
        </w:rPr>
        <w:t xml:space="preserve">• Problema encontrado: </w:t>
      </w:r>
      <w:r>
        <w:t xml:space="preserve">Todo el sistema operaba con dólares y valores no ajustados a Guatemala.</w:t>
      </w:r>
    </w:p>
    <w:p>
      <w:r>
        <w:rPr>
          <w:b/>
          <w:bCs/>
        </w:rPr>
        <w:t xml:space="preserve">• Cambio solicitado: </w:t>
      </w:r>
      <w:r>
        <w:t xml:space="preserve">Convertir precios, planes, tienda y balances a Quetzales.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Función money() formateada en es-GT (Q 0.00). Planes ajustados (Pase Diario: Q 40.00, Mensual: Q 250.00, Trimestral: Q 650.00, Anual: Q 2,200.00) y productos en Quetzales.</w:t>
      </w:r>
    </w:p>
    <w:p>
      <w:pPr>
        <w:spacing w:after="60" w:before="100"/>
      </w:pPr>
      <w:r>
        <w:rPr>
          <w:b/>
          <w:bCs/>
          <w:color w:val="0066CC"/>
        </w:rPr>
        <w:t xml:space="preserve">Mejora 4: Adaptación de la caja POS a denominaciones de Guatemala</w:t>
      </w:r>
    </w:p>
    <w:p>
      <w:r>
        <w:rPr>
          <w:b/>
          <w:bCs/>
        </w:rPr>
        <w:t xml:space="preserve">• Problema encontrado: </w:t>
      </w:r>
      <w:r>
        <w:t xml:space="preserve">Botones de pago rápido en efectivo y arqueo con valores no acordes al cono monetario de Guatemala.</w:t>
      </w:r>
    </w:p>
    <w:p>
      <w:r>
        <w:rPr>
          <w:b/>
          <w:bCs/>
        </w:rPr>
        <w:t xml:space="preserve">• Cambio solicitado: </w:t>
      </w:r>
      <w:r>
        <w:t xml:space="preserve">Adaptar las opciones de efectivo a la realidad guatemalteca.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Billetes rápidos de Q 20, Q 50, Q 100 y Q 200, fondo de caja estándar de Q 500.00 y cálculo exacto de cambio.</w:t>
      </w:r>
    </w:p>
    <w:p>
      <w:pPr>
        <w:spacing w:after="60" w:before="100"/>
      </w:pPr>
      <w:r>
        <w:rPr>
          <w:b/>
          <w:bCs/>
          <w:color w:val="0066CC"/>
        </w:rPr>
        <w:t xml:space="preserve">Mejora 5: Localización de documentos de identidad (DPI y NIT)</w:t>
      </w:r>
    </w:p>
    <w:p>
      <w:r>
        <w:rPr>
          <w:b/>
          <w:bCs/>
        </w:rPr>
        <w:t xml:space="preserve">• Problema encontrado: </w:t>
      </w:r>
      <w:r>
        <w:t xml:space="preserve">Se utilizaban términos como DNI y RFC incompatibles con Guatemala.</w:t>
      </w:r>
    </w:p>
    <w:p>
      <w:r>
        <w:rPr>
          <w:b/>
          <w:bCs/>
        </w:rPr>
        <w:t xml:space="preserve">• Cambio solicitado: </w:t>
      </w:r>
      <w:r>
        <w:t xml:space="preserve">Relacionar los identificadores con las entidades oficiales de Guatemala.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Implementación de DPI (CUI de 13 dígitos) para socios y torniquete, y NIT de la SAT para comprobantes fiscales.</w:t>
      </w:r>
    </w:p>
    <w:p>
      <w:pPr>
        <w:spacing w:after="60" w:before="100"/>
      </w:pPr>
      <w:r>
        <w:rPr>
          <w:b/>
          <w:bCs/>
          <w:color w:val="0066CC"/>
        </w:rPr>
        <w:t xml:space="preserve">Mejora 6: Régimen fiscal con IVA del 12%</w:t>
      </w:r>
    </w:p>
    <w:p>
      <w:r>
        <w:rPr>
          <w:b/>
          <w:bCs/>
        </w:rPr>
        <w:t xml:space="preserve">• Problema encontrado: </w:t>
      </w:r>
      <w:r>
        <w:t xml:space="preserve">Cálculo tributario genérico sin identificación del estándar guatemalteco.</w:t>
      </w:r>
    </w:p>
    <w:p>
      <w:r>
        <w:rPr>
          <w:b/>
          <w:bCs/>
        </w:rPr>
        <w:t xml:space="preserve">• Cambio solicitado: </w:t>
      </w:r>
      <w:r>
        <w:t xml:space="preserve">Alinear la facturación con los requerimientos SAT.</w:t>
      </w:r>
    </w:p>
    <w:p>
      <w:pPr>
        <w:spacing w:after="150"/>
      </w:pPr>
      <w:r>
        <w:rPr>
          <w:b/>
          <w:bCs/>
        </w:rPr>
        <w:t xml:space="preserve">• Resultado obtenido: </w:t>
      </w:r>
      <w:r>
        <w:t xml:space="preserve">Cálculo de IVA con la tasa oficial del 12% y tickets compatibles con formato de Factura Electrónica en Línea (FEL).</w:t>
      </w:r>
    </w:p>
    <w:p>
      <w:pPr>
        <w:spacing w:after="60" w:before="100"/>
      </w:pPr>
      <w:r>
        <w:rPr>
          <w:b/>
          <w:bCs/>
          <w:color w:val="0066CC"/>
        </w:rPr>
        <w:t xml:space="preserve">Mejora 7: Adaptación de mediciones físicas a libras y centímetros</w:t>
      </w:r>
    </w:p>
    <w:p>
      <w:r>
        <w:rPr>
          <w:b/>
          <w:bCs/>
        </w:rPr>
        <w:t xml:space="preserve">• Problema encontrado: </w:t>
      </w:r>
      <w:r>
        <w:t xml:space="preserve">Métricas corporales expresadas solo en kilogramos.</w:t>
      </w:r>
    </w:p>
    <w:p>
      <w:r>
        <w:rPr>
          <w:b/>
          <w:bCs/>
        </w:rPr>
        <w:t xml:space="preserve">• Cambio solicitado: </w:t>
      </w:r>
      <w:r>
        <w:t xml:space="preserve">Relacionar las mediciones corporales con el uso customary de Guatemala.</w:t>
      </w:r>
    </w:p>
    <w:p>
      <w:pPr>
        <w:spacing w:after="300"/>
      </w:pPr>
      <w:r>
        <w:rPr>
          <w:b/>
          <w:bCs/>
        </w:rPr>
        <w:t xml:space="preserve">• Resultado obtenido: </w:t>
      </w:r>
      <w:r>
        <w:t xml:space="preserve">Fichas antropométricas en Rutinas y Portal del Socio calibradas en Libras (lb) para peso y masa muscular, y centímetros (cm) para perímetros.</w:t>
      </w:r>
    </w:p>
    <w:p>
      <w:pPr>
        <w:pStyle w:val="Heading1"/>
        <w:spacing w:after="120" w:before="200"/>
      </w:pPr>
      <w:r>
        <w:t xml:space="preserve">4. RESULTADOS</w:t>
      </w:r>
    </w:p>
    <w:p>
      <w:pPr>
        <w:spacing w:after="100"/>
      </w:pPr>
      <w:r>
        <w:rPr>
          <w:b/>
          <w:bCs/>
        </w:rPr>
        <w:t xml:space="preserve">1. Exportación XLSX 100% funcional: </w:t>
      </w:r>
      <w:r>
        <w:t xml:space="preserve">Generación inmediata de archivos de Excel descargables en todos los módulos con formato y cabeceras enriquecidas.</w:t>
      </w:r>
    </w:p>
    <w:p>
      <w:pPr>
        <w:spacing w:after="100"/>
      </w:pPr>
      <w:r>
        <w:rPr>
          <w:b/>
          <w:bCs/>
        </w:rPr>
        <w:t xml:space="preserve">2. Cero errores de compilación y tipado: </w:t>
      </w:r>
      <w:r>
        <w:t xml:space="preserve">Validación completa con TypeScript (tsc --noEmit) y empaquetado de producción exitoso con Vite (vite build).</w:t>
      </w:r>
    </w:p>
    <w:p>
      <w:pPr>
        <w:spacing w:after="300"/>
      </w:pPr>
      <w:r>
        <w:rPr>
          <w:b/>
          <w:bCs/>
        </w:rPr>
        <w:t xml:space="preserve">3. Integración contextual con Guatemala: </w:t>
      </w:r>
      <w:r>
        <w:t xml:space="preserve">Plataforma homogénea en Quetzales, DPI, NIT, IVA 12% y peso en libras.</w:t>
      </w:r>
    </w:p>
    <w:p>
      <w:pPr>
        <w:pStyle w:val="Heading1"/>
        <w:spacing w:after="120" w:before="200"/>
      </w:pPr>
      <w:r>
        <w:t xml:space="preserve">5. CONCLUSIONES</w:t>
      </w:r>
    </w:p>
    <w:p>
      <w:pPr>
        <w:spacing w:after="200"/>
      </w:pPr>
      <w:r>
        <w:t xml:space="preserve">El sistema IronCore Fitness Guatemala ha alcanzado un estado de madurez técnica y operativa óptimo. Los bloqueos de exportación XLSX e inicialización de red fueron neutralizados a nivel de arquitectura. La localización al entorno de Guatemala aporta una experiencia nativa y profesional para administradores, cajeros, entrenadores y atletas.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2026-10-17T02:10:56.379Z</dcterms:created>
  <dcterms:modified xsi:type="dcterms:W3CDTF">2026-10-17T02:10:56.380Z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