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83" w:rsidRPr="00682B29" w:rsidRDefault="002249FA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Requisitos para Treinamento da IA – Análise de Pedidos de Diárias</w:t>
      </w:r>
    </w:p>
    <w:p w:rsidR="00617583" w:rsidRPr="00682B29" w:rsidRDefault="002249FA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1. Objetivo</w:t>
      </w:r>
    </w:p>
    <w:p w:rsidR="00617583" w:rsidRPr="00682B29" w:rsidRDefault="002249FA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682B29">
        <w:rPr>
          <w:rFonts w:ascii="Arial" w:hAnsi="Arial" w:cs="Arial"/>
          <w:sz w:val="24"/>
          <w:szCs w:val="24"/>
          <w:lang w:val="pt-BR"/>
        </w:rPr>
        <w:t>Fornecer</w:t>
      </w:r>
      <w:proofErr w:type="spellEnd"/>
      <w:r w:rsidRPr="00682B29">
        <w:rPr>
          <w:rFonts w:ascii="Arial" w:hAnsi="Arial" w:cs="Arial"/>
          <w:sz w:val="24"/>
          <w:szCs w:val="24"/>
          <w:lang w:val="pt-BR"/>
        </w:rPr>
        <w:t xml:space="preserve"> instruções claras e juridicamente fundamentadas para programar a IA a analisar pedidos de diárias no âmbito do Ministério Público do Estado do Pará, garantindo aderência às normas vigentes.</w:t>
      </w:r>
    </w:p>
    <w:p w:rsidR="00617583" w:rsidRPr="00682B29" w:rsidRDefault="002249FA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2. Base Normativa</w:t>
      </w:r>
    </w:p>
    <w:p w:rsidR="00617583" w:rsidRPr="00682B29" w:rsidRDefault="002249FA" w:rsidP="000928A4">
      <w:p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 IA deverá considerar, de forma integrada:</w:t>
      </w:r>
      <w:r w:rsidRPr="00682B29">
        <w:rPr>
          <w:rFonts w:ascii="Arial" w:hAnsi="Arial" w:cs="Arial"/>
          <w:sz w:val="24"/>
          <w:szCs w:val="24"/>
          <w:lang w:val="pt-BR"/>
        </w:rPr>
        <w:br/>
        <w:t>1. Portaria nº 3196/2025-MP/PGJ – Estabelece normas gerais sobre concessão, pagamento e prestação de contas de diárias.</w:t>
      </w:r>
      <w:r w:rsidRPr="00682B29">
        <w:rPr>
          <w:rFonts w:ascii="Arial" w:hAnsi="Arial" w:cs="Arial"/>
          <w:sz w:val="24"/>
          <w:szCs w:val="24"/>
          <w:lang w:val="pt-BR"/>
        </w:rPr>
        <w:br/>
        <w:t>2. Resolução nº 7/2011-CPJ – Concessão e pagamento de diárias a membros.</w:t>
      </w:r>
      <w:r w:rsidRPr="00682B29">
        <w:rPr>
          <w:rFonts w:ascii="Arial" w:hAnsi="Arial" w:cs="Arial"/>
          <w:sz w:val="24"/>
          <w:szCs w:val="24"/>
          <w:lang w:val="pt-BR"/>
        </w:rPr>
        <w:br/>
        <w:t>3. Resolução nº 8/2011-CPJ – Concessão e pagamento de diárias a servidores.</w:t>
      </w:r>
      <w:r w:rsidRPr="00682B29">
        <w:rPr>
          <w:rFonts w:ascii="Arial" w:hAnsi="Arial" w:cs="Arial"/>
          <w:sz w:val="24"/>
          <w:szCs w:val="24"/>
          <w:lang w:val="pt-BR"/>
        </w:rPr>
        <w:br/>
        <w:t>4. Portaria nº 5247/2022-MP/PGJ – Valores de diárias para membros.</w:t>
      </w:r>
      <w:r w:rsidRPr="00682B29">
        <w:rPr>
          <w:rFonts w:ascii="Arial" w:hAnsi="Arial" w:cs="Arial"/>
          <w:sz w:val="24"/>
          <w:szCs w:val="24"/>
          <w:lang w:val="pt-BR"/>
        </w:rPr>
        <w:br/>
        <w:t>5. Portaria nº 5248/2022-MP/PGJ – Valores de diárias para servidores</w:t>
      </w:r>
      <w:r w:rsidR="000928A4" w:rsidRPr="00682B29">
        <w:rPr>
          <w:rFonts w:ascii="Arial" w:hAnsi="Arial" w:cs="Arial"/>
          <w:sz w:val="24"/>
          <w:szCs w:val="24"/>
          <w:lang w:val="pt-BR"/>
        </w:rPr>
        <w:t xml:space="preserve"> e militares</w:t>
      </w:r>
      <w:r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617583" w:rsidRPr="00682B29" w:rsidRDefault="002249FA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3. </w:t>
      </w:r>
      <w:r w:rsidR="000928A4" w:rsidRPr="00682B29">
        <w:rPr>
          <w:rFonts w:ascii="Arial" w:hAnsi="Arial" w:cs="Arial"/>
          <w:sz w:val="24"/>
          <w:szCs w:val="24"/>
          <w:lang w:val="pt-BR"/>
        </w:rPr>
        <w:t>Liberação</w:t>
      </w:r>
      <w:r w:rsidR="00B95D18" w:rsidRPr="00682B29">
        <w:rPr>
          <w:rFonts w:ascii="Arial" w:hAnsi="Arial" w:cs="Arial"/>
          <w:sz w:val="24"/>
          <w:szCs w:val="24"/>
          <w:lang w:val="pt-BR"/>
        </w:rPr>
        <w:t xml:space="preserve"> (Com base na Portaria nº 3196/2025-MP/PGJ)</w:t>
      </w:r>
      <w:r w:rsidR="000928A4" w:rsidRPr="00682B29">
        <w:rPr>
          <w:rFonts w:ascii="Arial" w:hAnsi="Arial" w:cs="Arial"/>
          <w:sz w:val="24"/>
          <w:szCs w:val="24"/>
          <w:lang w:val="pt-BR"/>
        </w:rPr>
        <w:t>:</w:t>
      </w:r>
    </w:p>
    <w:p w:rsidR="00617583" w:rsidRPr="00682B29" w:rsidRDefault="002249FA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Tipo de solicitante: membro, servidor, militar à disposição, colaborador eventual.</w:t>
      </w:r>
    </w:p>
    <w:p w:rsidR="00FC290A" w:rsidRPr="00682B29" w:rsidRDefault="00FC290A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Verificar se o requerente possui </w:t>
      </w:r>
      <w:r w:rsidRPr="00682B29">
        <w:rPr>
          <w:rFonts w:ascii="Arial" w:hAnsi="Arial" w:cs="Arial"/>
          <w:noProof/>
          <w:sz w:val="24"/>
          <w:szCs w:val="24"/>
          <w:lang w:val="pt-BR"/>
        </w:rPr>
        <w:t>pendências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 em outras solicitações</w:t>
      </w:r>
      <w:r w:rsidR="005414BD" w:rsidRPr="00682B29">
        <w:rPr>
          <w:rFonts w:ascii="Arial" w:hAnsi="Arial" w:cs="Arial"/>
          <w:sz w:val="24"/>
          <w:szCs w:val="24"/>
          <w:lang w:val="pt-BR"/>
        </w:rPr>
        <w:t xml:space="preserve"> de diária</w:t>
      </w:r>
      <w:r w:rsidR="00956CE4" w:rsidRPr="00682B29">
        <w:rPr>
          <w:rFonts w:ascii="Arial" w:hAnsi="Arial" w:cs="Arial"/>
          <w:sz w:val="24"/>
          <w:szCs w:val="24"/>
          <w:lang w:val="pt-BR"/>
        </w:rPr>
        <w:t>:</w:t>
      </w:r>
    </w:p>
    <w:p w:rsidR="00956CE4" w:rsidRPr="00682B29" w:rsidRDefault="00956CE4" w:rsidP="00956CE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Ausência de prestação de contas no prazo de 15 dias úteis do término da missão (Portaria nº 3196/2025-MP/PGJ, art. 1º, § 5º);</w:t>
      </w:r>
    </w:p>
    <w:p w:rsidR="00956CE4" w:rsidRPr="00682B29" w:rsidRDefault="00956CE4" w:rsidP="00956CE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Nesta etapa é importante verificar se o processo está com o Requerente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 no GEDOC</w:t>
      </w:r>
      <w:r w:rsidR="005F7CD7" w:rsidRPr="00682B29">
        <w:rPr>
          <w:rFonts w:ascii="Arial" w:hAnsi="Arial" w:cs="Arial"/>
          <w:sz w:val="24"/>
          <w:szCs w:val="24"/>
          <w:lang w:val="pt-BR"/>
        </w:rPr>
        <w:t xml:space="preserve"> (“Responsável Atual”)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, pois há situações </w:t>
      </w:r>
      <w:r w:rsidR="005F7CD7" w:rsidRPr="00682B29">
        <w:rPr>
          <w:rFonts w:ascii="Arial" w:hAnsi="Arial" w:cs="Arial"/>
          <w:sz w:val="24"/>
          <w:szCs w:val="24"/>
          <w:lang w:val="pt-BR"/>
        </w:rPr>
        <w:t xml:space="preserve">em </w:t>
      </w:r>
      <w:r w:rsidRPr="00682B29">
        <w:rPr>
          <w:rFonts w:ascii="Arial" w:hAnsi="Arial" w:cs="Arial"/>
          <w:sz w:val="24"/>
          <w:szCs w:val="24"/>
          <w:lang w:val="pt-BR"/>
        </w:rPr>
        <w:t>que já está fora do prazo, porém</w:t>
      </w:r>
      <w:r w:rsidR="00110B5D" w:rsidRPr="00682B29">
        <w:rPr>
          <w:rFonts w:ascii="Arial" w:hAnsi="Arial" w:cs="Arial"/>
          <w:sz w:val="24"/>
          <w:szCs w:val="24"/>
          <w:lang w:val="pt-BR"/>
        </w:rPr>
        <w:t>,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o processo encontra-se 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em </w:t>
      </w:r>
      <w:r w:rsidRPr="00682B29">
        <w:rPr>
          <w:rFonts w:ascii="Arial" w:hAnsi="Arial" w:cs="Arial"/>
          <w:sz w:val="24"/>
          <w:szCs w:val="24"/>
          <w:lang w:val="pt-BR"/>
        </w:rPr>
        <w:t>outro setor, o que irá descaracterizar</w:t>
      </w:r>
      <w:r w:rsidR="005414BD" w:rsidRPr="00682B29">
        <w:rPr>
          <w:rFonts w:ascii="Arial" w:hAnsi="Arial" w:cs="Arial"/>
          <w:sz w:val="24"/>
          <w:szCs w:val="24"/>
          <w:lang w:val="pt-BR"/>
        </w:rPr>
        <w:t xml:space="preserve"> a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pendência.</w:t>
      </w:r>
    </w:p>
    <w:p w:rsidR="00617583" w:rsidRPr="00682B29" w:rsidRDefault="002249FA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Finalidade do deslocamento (curso, reunião, mutirão, fiscalização, etc.).</w:t>
      </w:r>
    </w:p>
    <w:p w:rsidR="000928A4" w:rsidRPr="00682B29" w:rsidRDefault="000928A4" w:rsidP="000928A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Se capacitação,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 seminários, </w:t>
      </w:r>
      <w:r w:rsidR="00FC4732" w:rsidRPr="00682B29">
        <w:rPr>
          <w:rFonts w:ascii="Arial" w:hAnsi="Arial" w:cs="Arial"/>
          <w:sz w:val="24"/>
          <w:szCs w:val="24"/>
          <w:lang w:val="pt-BR"/>
        </w:rPr>
        <w:t>cursos,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 </w:t>
      </w:r>
      <w:r w:rsidR="00FC4732" w:rsidRPr="00682B29">
        <w:rPr>
          <w:rFonts w:ascii="Arial" w:hAnsi="Arial" w:cs="Arial"/>
          <w:sz w:val="24"/>
          <w:szCs w:val="24"/>
          <w:lang w:val="pt-BR"/>
        </w:rPr>
        <w:t>etc.</w:t>
      </w:r>
      <w:r w:rsidR="0006455A" w:rsidRPr="00682B29">
        <w:rPr>
          <w:rFonts w:ascii="Arial" w:hAnsi="Arial" w:cs="Arial"/>
          <w:sz w:val="24"/>
          <w:szCs w:val="24"/>
          <w:lang w:val="pt-BR"/>
        </w:rPr>
        <w:t>,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haverá limitações</w:t>
      </w:r>
      <w:r w:rsidR="008621D3" w:rsidRPr="00682B29">
        <w:rPr>
          <w:rFonts w:ascii="Arial" w:hAnsi="Arial" w:cs="Arial"/>
          <w:sz w:val="24"/>
          <w:szCs w:val="24"/>
          <w:lang w:val="pt-BR"/>
        </w:rPr>
        <w:t xml:space="preserve"> na concessão</w:t>
      </w:r>
      <w:r w:rsidR="00FC290A"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110B5D" w:rsidRPr="00682B29">
        <w:rPr>
          <w:rFonts w:ascii="Arial" w:hAnsi="Arial" w:cs="Arial"/>
          <w:sz w:val="24"/>
          <w:szCs w:val="24"/>
          <w:lang w:val="pt-BR"/>
        </w:rPr>
        <w:t xml:space="preserve">Portaria nº 3196/2025-MP/PGJ, </w:t>
      </w:r>
      <w:r w:rsidR="00FC290A" w:rsidRPr="00682B29">
        <w:rPr>
          <w:rFonts w:ascii="Arial" w:hAnsi="Arial" w:cs="Arial"/>
          <w:sz w:val="24"/>
          <w:szCs w:val="24"/>
          <w:lang w:val="pt-BR"/>
        </w:rPr>
        <w:t>Art. 8º</w:t>
      </w:r>
      <w:r w:rsidR="00956CE4" w:rsidRPr="00682B29">
        <w:rPr>
          <w:rFonts w:ascii="Arial" w:hAnsi="Arial" w:cs="Arial"/>
          <w:sz w:val="24"/>
          <w:szCs w:val="24"/>
          <w:lang w:val="pt-BR"/>
        </w:rPr>
        <w:t>, § 6º</w:t>
      </w:r>
      <w:r w:rsidR="00FC290A" w:rsidRPr="00682B29">
        <w:rPr>
          <w:rFonts w:ascii="Arial" w:hAnsi="Arial" w:cs="Arial"/>
          <w:sz w:val="24"/>
          <w:szCs w:val="24"/>
          <w:lang w:val="pt-BR"/>
        </w:rPr>
        <w:t>)</w:t>
      </w:r>
      <w:r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617583" w:rsidRPr="00682B29" w:rsidRDefault="00110B5D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Origem, destino e distância</w:t>
      </w:r>
    </w:p>
    <w:p w:rsidR="00956CE4" w:rsidRPr="00682B29" w:rsidRDefault="00956CE4" w:rsidP="00956CE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Não caberá d</w:t>
      </w:r>
      <w:r w:rsidR="00110B5D" w:rsidRPr="00682B29">
        <w:rPr>
          <w:rFonts w:ascii="Arial" w:hAnsi="Arial" w:cs="Arial"/>
          <w:sz w:val="24"/>
          <w:szCs w:val="24"/>
          <w:lang w:val="pt-BR"/>
        </w:rPr>
        <w:t>iária para deslocamentos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</w:t>
      </w:r>
      <w:r w:rsidR="00110B5D" w:rsidRPr="00682B29">
        <w:rPr>
          <w:rFonts w:ascii="Arial" w:hAnsi="Arial" w:cs="Arial"/>
          <w:sz w:val="24"/>
          <w:szCs w:val="24"/>
          <w:lang w:val="pt-BR"/>
        </w:rPr>
        <w:t>dentro da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 RMB (</w:t>
      </w:r>
      <w:r w:rsidRPr="00682B29">
        <w:rPr>
          <w:rFonts w:ascii="Arial" w:hAnsi="Arial" w:cs="Arial"/>
          <w:sz w:val="24"/>
          <w:szCs w:val="24"/>
          <w:lang w:val="pt-BR"/>
        </w:rPr>
        <w:t>LCE nº 027/1995</w:t>
      </w:r>
      <w:r w:rsidR="002247B0" w:rsidRPr="00682B29">
        <w:rPr>
          <w:rFonts w:ascii="Arial" w:hAnsi="Arial" w:cs="Arial"/>
          <w:sz w:val="24"/>
          <w:szCs w:val="24"/>
          <w:lang w:val="pt-BR"/>
        </w:rPr>
        <w:t>)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, ou 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de </w:t>
      </w:r>
      <w:r w:rsidRPr="00682B29">
        <w:rPr>
          <w:rFonts w:ascii="Arial" w:hAnsi="Arial" w:cs="Arial"/>
          <w:sz w:val="24"/>
          <w:szCs w:val="24"/>
          <w:lang w:val="pt-BR"/>
        </w:rPr>
        <w:t>até 80 km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 de distância</w:t>
      </w:r>
      <w:r w:rsidR="00110B5D" w:rsidRPr="00682B29">
        <w:rPr>
          <w:rFonts w:ascii="Arial" w:hAnsi="Arial" w:cs="Arial"/>
          <w:sz w:val="24"/>
          <w:szCs w:val="24"/>
          <w:lang w:val="pt-BR"/>
        </w:rPr>
        <w:t>, por trecho rodoviário</w:t>
      </w:r>
      <w:r w:rsidR="005C153C" w:rsidRPr="00682B29">
        <w:rPr>
          <w:rFonts w:ascii="Arial" w:hAnsi="Arial" w:cs="Arial"/>
          <w:sz w:val="24"/>
          <w:szCs w:val="24"/>
          <w:lang w:val="pt-BR"/>
        </w:rPr>
        <w:t xml:space="preserve"> (Portaria nº 3196/2025-MP/PGJ, Art. 2º, § 1º, I)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956CE4" w:rsidRPr="00682B29" w:rsidRDefault="00956CE4" w:rsidP="00956CE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Há previsão para indeferimento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 no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caso </w:t>
      </w:r>
      <w:r w:rsidR="002247B0" w:rsidRPr="00682B29">
        <w:rPr>
          <w:rFonts w:ascii="Arial" w:hAnsi="Arial" w:cs="Arial"/>
          <w:sz w:val="24"/>
          <w:szCs w:val="24"/>
          <w:lang w:val="pt-BR"/>
        </w:rPr>
        <w:t xml:space="preserve">de 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o deslocamento abranger transporte fluvial, cujo </w:t>
      </w:r>
      <w:r w:rsidR="00110B5D" w:rsidRPr="00682B29">
        <w:rPr>
          <w:rFonts w:ascii="Arial" w:hAnsi="Arial" w:cs="Arial"/>
          <w:sz w:val="24"/>
          <w:szCs w:val="24"/>
          <w:lang w:val="pt-BR"/>
        </w:rPr>
        <w:t xml:space="preserve">tempo 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de ida e retorno seja inferior a 4 horas, porém, </w:t>
      </w:r>
      <w:r w:rsidR="002247B0" w:rsidRPr="00682B29">
        <w:rPr>
          <w:rFonts w:ascii="Arial" w:hAnsi="Arial" w:cs="Arial"/>
          <w:sz w:val="24"/>
          <w:szCs w:val="24"/>
          <w:lang w:val="pt-BR"/>
        </w:rPr>
        <w:t>é de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difícil análise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 e</w:t>
      </w:r>
      <w:r w:rsidR="00110B5D" w:rsidRPr="00682B29">
        <w:rPr>
          <w:rFonts w:ascii="Arial" w:hAnsi="Arial" w:cs="Arial"/>
          <w:sz w:val="24"/>
          <w:szCs w:val="24"/>
          <w:lang w:val="pt-BR"/>
        </w:rPr>
        <w:t>, portanto,</w:t>
      </w:r>
      <w:r w:rsidR="0006455A" w:rsidRPr="00682B29">
        <w:rPr>
          <w:rFonts w:ascii="Arial" w:hAnsi="Arial" w:cs="Arial"/>
          <w:sz w:val="24"/>
          <w:szCs w:val="24"/>
          <w:lang w:val="pt-BR"/>
        </w:rPr>
        <w:t xml:space="preserve"> sem uso na prática (Portaria nº 3196/2025-MP/PGJ, Art. 2º, </w:t>
      </w:r>
      <w:r w:rsidR="005C153C" w:rsidRPr="00682B29">
        <w:rPr>
          <w:rFonts w:ascii="Arial" w:hAnsi="Arial" w:cs="Arial"/>
          <w:sz w:val="24"/>
          <w:szCs w:val="24"/>
          <w:lang w:val="pt-BR"/>
        </w:rPr>
        <w:t xml:space="preserve">§ 1º, </w:t>
      </w:r>
      <w:r w:rsidR="0006455A" w:rsidRPr="00682B29">
        <w:rPr>
          <w:rFonts w:ascii="Arial" w:hAnsi="Arial" w:cs="Arial"/>
          <w:sz w:val="24"/>
          <w:szCs w:val="24"/>
          <w:lang w:val="pt-BR"/>
        </w:rPr>
        <w:t>IV);</w:t>
      </w:r>
    </w:p>
    <w:p w:rsidR="0006455A" w:rsidRPr="00682B29" w:rsidRDefault="0006455A" w:rsidP="00956CE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Ressalta-se que, caso justificado o pernoite, poderá haver o pagamento de diárias ainda que em situações de vedação (Portaria nº 3196/2025-MP/PGJ, Art. 2º, § 2º);</w:t>
      </w:r>
    </w:p>
    <w:p w:rsidR="00617583" w:rsidRPr="00682B29" w:rsidRDefault="00FC290A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Período do deslocamento</w:t>
      </w:r>
      <w:r w:rsidR="005D5872" w:rsidRPr="00682B29">
        <w:rPr>
          <w:rFonts w:ascii="Arial" w:hAnsi="Arial" w:cs="Arial"/>
          <w:sz w:val="24"/>
          <w:szCs w:val="24"/>
          <w:lang w:val="pt-BR"/>
        </w:rPr>
        <w:t>, data de ida e de volta</w:t>
      </w:r>
      <w:r w:rsidR="002249FA"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645824" w:rsidRPr="00682B29" w:rsidRDefault="00645824" w:rsidP="00645824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O artigo 2º da </w:t>
      </w:r>
      <w:r w:rsidRPr="00682B29">
        <w:rPr>
          <w:rFonts w:ascii="Arial" w:hAnsi="Arial" w:cs="Arial"/>
          <w:sz w:val="24"/>
          <w:szCs w:val="24"/>
          <w:lang w:val="pt-BR"/>
        </w:rPr>
        <w:t>Portaria nº 3196/2025-MP/PGJ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informa como é feito o cálculo do quantitativo</w:t>
      </w:r>
      <w:r w:rsidR="00B95D18" w:rsidRPr="00682B29">
        <w:rPr>
          <w:rFonts w:ascii="Arial" w:hAnsi="Arial" w:cs="Arial"/>
          <w:sz w:val="24"/>
          <w:szCs w:val="24"/>
          <w:lang w:val="pt-BR"/>
        </w:rPr>
        <w:t>. Detalhei no item 4 do presente documento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FC290A" w:rsidRPr="00682B29" w:rsidRDefault="00110B5D" w:rsidP="00FC290A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Verificar</w:t>
      </w:r>
      <w:r w:rsidR="00FC290A" w:rsidRPr="00682B29">
        <w:rPr>
          <w:rFonts w:ascii="Arial" w:hAnsi="Arial" w:cs="Arial"/>
          <w:sz w:val="24"/>
          <w:szCs w:val="24"/>
          <w:lang w:val="pt-BR"/>
        </w:rPr>
        <w:t xml:space="preserve"> se </w:t>
      </w:r>
      <w:r w:rsidR="00956CE4" w:rsidRPr="00682B29">
        <w:rPr>
          <w:rFonts w:ascii="Arial" w:hAnsi="Arial" w:cs="Arial"/>
          <w:sz w:val="24"/>
          <w:szCs w:val="24"/>
          <w:lang w:val="pt-BR"/>
        </w:rPr>
        <w:t xml:space="preserve">há </w:t>
      </w:r>
      <w:r w:rsidR="00FC290A" w:rsidRPr="00682B29">
        <w:rPr>
          <w:rFonts w:ascii="Arial" w:hAnsi="Arial" w:cs="Arial"/>
          <w:sz w:val="24"/>
          <w:szCs w:val="24"/>
          <w:lang w:val="pt-BR"/>
        </w:rPr>
        <w:t>outros pedi</w:t>
      </w:r>
      <w:r w:rsidR="005C153C" w:rsidRPr="00682B29">
        <w:rPr>
          <w:rFonts w:ascii="Arial" w:hAnsi="Arial" w:cs="Arial"/>
          <w:sz w:val="24"/>
          <w:szCs w:val="24"/>
          <w:lang w:val="pt-BR"/>
        </w:rPr>
        <w:t xml:space="preserve">dos, do mesmo requerente, </w:t>
      </w:r>
      <w:r w:rsidR="00FC290A" w:rsidRPr="00682B29">
        <w:rPr>
          <w:rFonts w:ascii="Arial" w:hAnsi="Arial" w:cs="Arial"/>
          <w:sz w:val="24"/>
          <w:szCs w:val="24"/>
          <w:lang w:val="pt-BR"/>
        </w:rPr>
        <w:t xml:space="preserve">de diárias </w:t>
      </w:r>
      <w:r w:rsidR="005C153C" w:rsidRPr="00682B29">
        <w:rPr>
          <w:rFonts w:ascii="Arial" w:hAnsi="Arial" w:cs="Arial"/>
          <w:sz w:val="24"/>
          <w:szCs w:val="24"/>
          <w:lang w:val="pt-BR"/>
        </w:rPr>
        <w:t>em sobreposição com o analisado</w:t>
      </w:r>
      <w:r w:rsidR="00645824" w:rsidRPr="00682B29">
        <w:rPr>
          <w:rFonts w:ascii="Arial" w:hAnsi="Arial" w:cs="Arial"/>
          <w:sz w:val="24"/>
          <w:szCs w:val="24"/>
          <w:lang w:val="pt-BR"/>
        </w:rPr>
        <w:t>, ou seja, para o mesmo período</w:t>
      </w:r>
      <w:r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110B5D" w:rsidRPr="00682B29" w:rsidRDefault="002249FA" w:rsidP="00110B5D">
      <w:pPr>
        <w:pStyle w:val="Commarcadores"/>
        <w:tabs>
          <w:tab w:val="clear" w:pos="360"/>
        </w:tabs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Documentos obrigatórios anexados.</w:t>
      </w:r>
    </w:p>
    <w:p w:rsidR="00110B5D" w:rsidRPr="00682B29" w:rsidRDefault="00110B5D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Documentação que motivou a viagem (Portaria nº 3196/2025-MP/PGJ, Art. 1º, § 2º);</w:t>
      </w:r>
    </w:p>
    <w:p w:rsidR="00110B5D" w:rsidRPr="00682B29" w:rsidRDefault="00B95D18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</w:t>
      </w:r>
      <w:r w:rsidRPr="00682B29">
        <w:rPr>
          <w:rFonts w:ascii="Arial" w:hAnsi="Arial" w:cs="Arial"/>
          <w:sz w:val="24"/>
          <w:szCs w:val="24"/>
          <w:lang w:val="pt-BR"/>
        </w:rPr>
        <w:t>e servidor ou militar</w:t>
      </w:r>
      <w:r w:rsidRPr="00682B29">
        <w:rPr>
          <w:rFonts w:ascii="Arial" w:hAnsi="Arial" w:cs="Arial"/>
          <w:sz w:val="24"/>
          <w:szCs w:val="24"/>
          <w:lang w:val="pt-BR"/>
        </w:rPr>
        <w:t>,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</w:t>
      </w:r>
      <w:r w:rsidRPr="00682B29">
        <w:rPr>
          <w:rFonts w:ascii="Arial" w:hAnsi="Arial" w:cs="Arial"/>
          <w:sz w:val="24"/>
          <w:szCs w:val="24"/>
          <w:lang w:val="pt-BR"/>
        </w:rPr>
        <w:t>c</w:t>
      </w:r>
      <w:r w:rsidR="00110B5D" w:rsidRPr="00682B29">
        <w:rPr>
          <w:rFonts w:ascii="Arial" w:hAnsi="Arial" w:cs="Arial"/>
          <w:sz w:val="24"/>
          <w:szCs w:val="24"/>
          <w:lang w:val="pt-BR"/>
        </w:rPr>
        <w:t>iência da chefia imediata ou autoridade competente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</w:t>
      </w:r>
      <w:r w:rsidR="00110B5D" w:rsidRPr="00682B29">
        <w:rPr>
          <w:rFonts w:ascii="Arial" w:hAnsi="Arial" w:cs="Arial"/>
          <w:sz w:val="24"/>
          <w:szCs w:val="24"/>
          <w:lang w:val="pt-BR"/>
        </w:rPr>
        <w:t>(Portaria nº 3196/2025-MP/PGJ, Art. 1º, § 2º</w:t>
      </w:r>
      <w:r w:rsidR="001B0FD1" w:rsidRPr="00682B29">
        <w:rPr>
          <w:rFonts w:ascii="Arial" w:hAnsi="Arial" w:cs="Arial"/>
          <w:sz w:val="24"/>
          <w:szCs w:val="24"/>
          <w:lang w:val="pt-BR"/>
        </w:rPr>
        <w:t>);</w:t>
      </w:r>
    </w:p>
    <w:p w:rsidR="001B0FD1" w:rsidRPr="00682B29" w:rsidRDefault="001B0FD1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Caso o </w:t>
      </w:r>
      <w:r w:rsidR="00B95D18" w:rsidRPr="00682B29">
        <w:rPr>
          <w:rFonts w:ascii="Arial" w:hAnsi="Arial" w:cs="Arial"/>
          <w:sz w:val="24"/>
          <w:szCs w:val="24"/>
          <w:lang w:val="pt-BR"/>
        </w:rPr>
        <w:t>requerimento tenha como assunto,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no GEDOC, pedido “com autorização prévia”, deverá ser apresentada a autorização prévia ou ato designativo (Portaria nº 3196/2025-MP/PGJ, Art. 3º, § 3º)</w:t>
      </w:r>
      <w:r w:rsidR="008621D3"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1B0FD1" w:rsidRPr="00682B29" w:rsidRDefault="001B0FD1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Em pedidos de Membros para atender à designação para exercer atribuições diversas da titularidade, em caráter de acumulação ou designação de oficiar em sessão do Tribunal do Júri, deverão conter o respectivo ato designativo, o qual deverá ser compatível com o período de deslocamento. Ressalta-se que há limite de diárias para Acumulação, salvo se Tribunal do Júri, de 8 diárias por mês (Portaria nº 3196/2025-MP/PGJ, Art. 3º, § 3º c/</w:t>
      </w:r>
      <w:proofErr w:type="gramStart"/>
      <w:r w:rsidRPr="00682B29">
        <w:rPr>
          <w:rFonts w:ascii="Arial" w:hAnsi="Arial" w:cs="Arial"/>
          <w:sz w:val="24"/>
          <w:szCs w:val="24"/>
          <w:lang w:val="pt-BR"/>
        </w:rPr>
        <w:t>c</w:t>
      </w:r>
      <w:proofErr w:type="gramEnd"/>
      <w:r w:rsidRPr="00682B29">
        <w:rPr>
          <w:rFonts w:ascii="Arial" w:hAnsi="Arial" w:cs="Arial"/>
          <w:sz w:val="24"/>
          <w:szCs w:val="24"/>
          <w:lang w:val="pt-BR"/>
        </w:rPr>
        <w:t xml:space="preserve"> Art. 2º, VI)</w:t>
      </w:r>
    </w:p>
    <w:p w:rsidR="005C153C" w:rsidRPr="00682B29" w:rsidRDefault="005C153C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Em pedidos de capacitação, </w:t>
      </w:r>
      <w:r w:rsidR="00B95D18" w:rsidRPr="00682B29">
        <w:rPr>
          <w:rFonts w:ascii="Arial" w:hAnsi="Arial" w:cs="Arial"/>
          <w:sz w:val="24"/>
          <w:szCs w:val="24"/>
          <w:lang w:val="pt-BR"/>
        </w:rPr>
        <w:t>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pedido</w:t>
      </w:r>
      <w:r w:rsidR="00B95D18" w:rsidRPr="00682B29">
        <w:rPr>
          <w:rFonts w:ascii="Arial" w:hAnsi="Arial" w:cs="Arial"/>
          <w:sz w:val="24"/>
          <w:szCs w:val="24"/>
          <w:lang w:val="pt-BR"/>
        </w:rPr>
        <w:t xml:space="preserve"> deverá vir instruído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com a manifestação da chefia imediata, caso servidor ou militar, quanto à relevância do curso para as atividades desenvolvidas no órgão. No caso de membro, a instrução será feita pelo próprio requerente quanto à relevância (Portaria nº 3196/2025-MP/PGJ, Art. 8º, § 1º). Além disso, o CEAF deverá se manifestar quanto à adequação do pedido (Portaria nº 3196/2025-MP/PGJ, Art. 8º, § 2º).</w:t>
      </w:r>
      <w:r w:rsidR="00A973EF" w:rsidRPr="00682B29">
        <w:rPr>
          <w:rFonts w:ascii="Arial" w:hAnsi="Arial" w:cs="Arial"/>
          <w:sz w:val="24"/>
          <w:szCs w:val="24"/>
          <w:lang w:val="pt-BR"/>
        </w:rPr>
        <w:t xml:space="preserve"> A solicitação deverá conter a programação completa do evento (</w:t>
      </w:r>
      <w:r w:rsidR="00A973EF" w:rsidRPr="00682B29">
        <w:rPr>
          <w:rFonts w:ascii="Arial" w:hAnsi="Arial" w:cs="Arial"/>
          <w:sz w:val="24"/>
          <w:szCs w:val="24"/>
          <w:lang w:val="pt-BR"/>
        </w:rPr>
        <w:t>Port</w:t>
      </w:r>
      <w:r w:rsidR="00A973EF" w:rsidRPr="00682B29">
        <w:rPr>
          <w:rFonts w:ascii="Arial" w:hAnsi="Arial" w:cs="Arial"/>
          <w:sz w:val="24"/>
          <w:szCs w:val="24"/>
          <w:lang w:val="pt-BR"/>
        </w:rPr>
        <w:t>aria nº 3196/2025-MP/PGJ, Art. 8</w:t>
      </w:r>
      <w:r w:rsidR="00A973EF" w:rsidRPr="00682B29">
        <w:rPr>
          <w:rFonts w:ascii="Arial" w:hAnsi="Arial" w:cs="Arial"/>
          <w:sz w:val="24"/>
          <w:szCs w:val="24"/>
          <w:lang w:val="pt-BR"/>
        </w:rPr>
        <w:t>º</w:t>
      </w:r>
      <w:r w:rsidR="00A973EF" w:rsidRPr="00682B29">
        <w:rPr>
          <w:rFonts w:ascii="Arial" w:hAnsi="Arial" w:cs="Arial"/>
          <w:sz w:val="24"/>
          <w:szCs w:val="24"/>
          <w:lang w:val="pt-BR"/>
        </w:rPr>
        <w:t>, § 1º, IV);</w:t>
      </w:r>
    </w:p>
    <w:p w:rsidR="00645824" w:rsidRPr="00682B29" w:rsidRDefault="00645824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Não há fundamento nas normativas internas, porém, as solicitações de diárias com a finalidade de “prestar apoio administrativo/substituição de servidor”, deverão ser instruídas com a autorização da </w:t>
      </w:r>
      <w:proofErr w:type="spellStart"/>
      <w:r w:rsidRPr="00682B29">
        <w:rPr>
          <w:rFonts w:ascii="Arial" w:hAnsi="Arial" w:cs="Arial"/>
          <w:sz w:val="24"/>
          <w:szCs w:val="24"/>
          <w:lang w:val="pt-BR"/>
        </w:rPr>
        <w:t>Sub-TA</w:t>
      </w:r>
      <w:proofErr w:type="spellEnd"/>
      <w:r w:rsidRPr="00682B29">
        <w:rPr>
          <w:rFonts w:ascii="Arial" w:hAnsi="Arial" w:cs="Arial"/>
          <w:sz w:val="24"/>
          <w:szCs w:val="24"/>
          <w:lang w:val="pt-BR"/>
        </w:rPr>
        <w:t xml:space="preserve"> para o deslocamento.</w:t>
      </w:r>
      <w:r w:rsidR="00A973EF" w:rsidRPr="00682B29">
        <w:rPr>
          <w:rFonts w:ascii="Arial" w:hAnsi="Arial" w:cs="Arial"/>
          <w:sz w:val="24"/>
          <w:szCs w:val="24"/>
          <w:lang w:val="pt-BR"/>
        </w:rPr>
        <w:t xml:space="preserve"> Ressalta-se que essa regra se aplica exclusivamente às solicitações feitas por servidores.</w:t>
      </w:r>
    </w:p>
    <w:p w:rsidR="00A973EF" w:rsidRPr="00682B29" w:rsidRDefault="00A973EF" w:rsidP="00110B5D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Quando colaborador eventual e tratar-se de capacitação, o pedido deverá vir instruído com o currículo do colaborador.</w:t>
      </w:r>
    </w:p>
    <w:p w:rsidR="00617583" w:rsidRPr="00682B29" w:rsidRDefault="002249FA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Antecedência do pedido (prazo mínimo exigido).</w:t>
      </w:r>
    </w:p>
    <w:p w:rsidR="00D97E6F" w:rsidRPr="00682B29" w:rsidRDefault="00D97E6F" w:rsidP="00D97E6F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Se missão, 7 dias úteis da data da atividade</w:t>
      </w:r>
      <w:r w:rsidR="00645824"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645824" w:rsidRPr="00682B29">
        <w:rPr>
          <w:rFonts w:ascii="Arial" w:hAnsi="Arial" w:cs="Arial"/>
          <w:sz w:val="24"/>
          <w:szCs w:val="24"/>
          <w:lang w:val="pt-BR"/>
        </w:rPr>
        <w:t>Portaria nº 3196/2025-MP/PGJ</w:t>
      </w:r>
      <w:r w:rsidR="00645824" w:rsidRPr="00682B29">
        <w:rPr>
          <w:rFonts w:ascii="Arial" w:hAnsi="Arial" w:cs="Arial"/>
          <w:sz w:val="24"/>
          <w:szCs w:val="24"/>
          <w:lang w:val="pt-BR"/>
        </w:rPr>
        <w:t>, artigo 1º, § 2º)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803EA3" w:rsidRPr="00682B29" w:rsidRDefault="00803EA3" w:rsidP="00803EA3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Se a missão é sigilosa, o requerimento poderá ser feito em momento posterior ao deslocamento (Portaria nº 3196/2025-MP/PGJ, Art. 5º, § 2º)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D97E6F" w:rsidRPr="00682B29" w:rsidRDefault="00D97E6F" w:rsidP="00D97E6F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Se colaborador eventual, 15 dias úteis da data do evento</w:t>
      </w:r>
      <w:r w:rsidR="00645824"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645824" w:rsidRPr="00682B29">
        <w:rPr>
          <w:rFonts w:ascii="Arial" w:hAnsi="Arial" w:cs="Arial"/>
          <w:sz w:val="24"/>
          <w:szCs w:val="24"/>
          <w:lang w:val="pt-BR"/>
        </w:rPr>
        <w:t xml:space="preserve">Portaria nº 3196/2025-MP/PGJ, artigo </w:t>
      </w:r>
      <w:r w:rsidR="00645824" w:rsidRPr="00682B29">
        <w:rPr>
          <w:rFonts w:ascii="Arial" w:hAnsi="Arial" w:cs="Arial"/>
          <w:sz w:val="24"/>
          <w:szCs w:val="24"/>
          <w:lang w:val="pt-BR"/>
        </w:rPr>
        <w:t>9</w:t>
      </w:r>
      <w:r w:rsidR="00645824" w:rsidRPr="00682B29">
        <w:rPr>
          <w:rFonts w:ascii="Arial" w:hAnsi="Arial" w:cs="Arial"/>
          <w:sz w:val="24"/>
          <w:szCs w:val="24"/>
          <w:lang w:val="pt-BR"/>
        </w:rPr>
        <w:t xml:space="preserve">º, § </w:t>
      </w:r>
      <w:r w:rsidR="00645824" w:rsidRPr="00682B29">
        <w:rPr>
          <w:rFonts w:ascii="Arial" w:hAnsi="Arial" w:cs="Arial"/>
          <w:sz w:val="24"/>
          <w:szCs w:val="24"/>
          <w:lang w:val="pt-BR"/>
        </w:rPr>
        <w:t>1</w:t>
      </w:r>
      <w:r w:rsidR="00645824" w:rsidRPr="00682B29">
        <w:rPr>
          <w:rFonts w:ascii="Arial" w:hAnsi="Arial" w:cs="Arial"/>
          <w:sz w:val="24"/>
          <w:szCs w:val="24"/>
          <w:lang w:val="pt-BR"/>
        </w:rPr>
        <w:t>º</w:t>
      </w:r>
      <w:r w:rsidR="00645824" w:rsidRPr="00682B29">
        <w:rPr>
          <w:rFonts w:ascii="Arial" w:hAnsi="Arial" w:cs="Arial"/>
          <w:sz w:val="24"/>
          <w:szCs w:val="24"/>
          <w:lang w:val="pt-BR"/>
        </w:rPr>
        <w:t>)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D97E6F" w:rsidRPr="00682B29" w:rsidRDefault="00D97E6F" w:rsidP="00D97E6F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Se capacitação, 30 dias corridos da data do evento</w:t>
      </w:r>
      <w:r w:rsidR="00645824"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645824" w:rsidRPr="00682B29">
        <w:rPr>
          <w:rFonts w:ascii="Arial" w:hAnsi="Arial" w:cs="Arial"/>
          <w:sz w:val="24"/>
          <w:szCs w:val="24"/>
          <w:lang w:val="pt-BR"/>
        </w:rPr>
        <w:t>Portaria nº 3196/2025-MP/PGJ</w:t>
      </w:r>
      <w:r w:rsidR="00645824" w:rsidRPr="00682B29">
        <w:rPr>
          <w:rFonts w:ascii="Arial" w:hAnsi="Arial" w:cs="Arial"/>
          <w:sz w:val="24"/>
          <w:szCs w:val="24"/>
          <w:lang w:val="pt-BR"/>
        </w:rPr>
        <w:t>, artigo 8º, § 1</w:t>
      </w:r>
      <w:r w:rsidR="00645824" w:rsidRPr="00682B29">
        <w:rPr>
          <w:rFonts w:ascii="Arial" w:hAnsi="Arial" w:cs="Arial"/>
          <w:sz w:val="24"/>
          <w:szCs w:val="24"/>
          <w:lang w:val="pt-BR"/>
        </w:rPr>
        <w:t>º</w:t>
      </w:r>
      <w:r w:rsidR="00645824" w:rsidRPr="00682B29">
        <w:rPr>
          <w:rFonts w:ascii="Arial" w:hAnsi="Arial" w:cs="Arial"/>
          <w:sz w:val="24"/>
          <w:szCs w:val="24"/>
          <w:lang w:val="pt-BR"/>
        </w:rPr>
        <w:t>, I)</w:t>
      </w:r>
      <w:r w:rsidRPr="00682B29">
        <w:rPr>
          <w:rFonts w:ascii="Arial" w:hAnsi="Arial" w:cs="Arial"/>
          <w:sz w:val="24"/>
          <w:szCs w:val="24"/>
          <w:lang w:val="pt-BR"/>
        </w:rPr>
        <w:t>;</w:t>
      </w:r>
    </w:p>
    <w:p w:rsidR="00FC4732" w:rsidRPr="00682B29" w:rsidRDefault="00FC4732" w:rsidP="00FC473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:rsidR="00FC4732" w:rsidRPr="00682B29" w:rsidRDefault="00FC4732" w:rsidP="00FC4732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4. Avaliar quantitativo (detalhamento)</w:t>
      </w:r>
    </w:p>
    <w:p w:rsidR="00FC4732" w:rsidRPr="00682B29" w:rsidRDefault="00FC4732" w:rsidP="00FC4732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Identificação do período de deslocamento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Considera-se do dia de início da viagem até o dia de chegada ao m</w:t>
      </w:r>
      <w:r w:rsidR="00B95D18" w:rsidRPr="00682B29">
        <w:rPr>
          <w:rFonts w:ascii="Arial" w:hAnsi="Arial" w:cs="Arial"/>
          <w:sz w:val="24"/>
          <w:szCs w:val="24"/>
          <w:lang w:val="pt-BR"/>
        </w:rPr>
        <w:t>unicípio de lotação (Art. 2º, I</w:t>
      </w:r>
      <w:r w:rsidRPr="00682B29">
        <w:rPr>
          <w:rFonts w:ascii="Arial" w:hAnsi="Arial" w:cs="Arial"/>
          <w:sz w:val="24"/>
          <w:szCs w:val="24"/>
          <w:lang w:val="pt-BR"/>
        </w:rPr>
        <w:t>).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Inclui-se no cômputo dias de deslocamento e dias efetivos de missão oficial.</w:t>
      </w:r>
    </w:p>
    <w:p w:rsidR="00FC4732" w:rsidRPr="00682B29" w:rsidRDefault="00FC4732" w:rsidP="00FC4732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Percentual da diária a aplicar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100% do valor</w:t>
      </w:r>
      <w:r w:rsidRPr="00682B29">
        <w:rPr>
          <w:rFonts w:ascii="Arial" w:hAnsi="Arial" w:cs="Arial"/>
          <w:sz w:val="24"/>
          <w:szCs w:val="24"/>
          <w:lang w:val="pt-BR"/>
        </w:rPr>
        <w:t>: quando houver pernoite fora da sede.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50% do valor</w:t>
      </w:r>
      <w:r w:rsidRPr="00682B29">
        <w:rPr>
          <w:rFonts w:ascii="Arial" w:hAnsi="Arial" w:cs="Arial"/>
          <w:sz w:val="24"/>
          <w:szCs w:val="24"/>
          <w:lang w:val="pt-BR"/>
        </w:rPr>
        <w:t>: quando não houver pernoite</w:t>
      </w:r>
      <w:r w:rsidR="00B95D18" w:rsidRPr="00682B29">
        <w:rPr>
          <w:rFonts w:ascii="Arial" w:hAnsi="Arial" w:cs="Arial"/>
          <w:sz w:val="24"/>
          <w:szCs w:val="24"/>
          <w:lang w:val="pt-BR"/>
        </w:rPr>
        <w:t>/dia do retorno</w:t>
      </w:r>
      <w:r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25% do valor</w:t>
      </w:r>
      <w:r w:rsidRPr="00682B29">
        <w:rPr>
          <w:rFonts w:ascii="Arial" w:hAnsi="Arial" w:cs="Arial"/>
          <w:sz w:val="24"/>
          <w:szCs w:val="24"/>
          <w:lang w:val="pt-BR"/>
        </w:rPr>
        <w:t>: quando hospedagem e alimentação forem custeadas por órgão/entidade da Administração Pública.</w:t>
      </w:r>
    </w:p>
    <w:p w:rsidR="00FC4732" w:rsidRPr="00682B29" w:rsidRDefault="00FC4732" w:rsidP="00FC4732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Restrições que excluem o pagamento de diária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Deslocamento na Região Metropolitana de Belém ou até 80 km de distância, salvo se houver pernoite (Art. 2º, §1º, I).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Deslocamento que constitua exigência habitual do cargo, exceto nos casos específicos previstos (Art. 2º, §1º, II).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Deslocamento fluvial cujo tempo total de ida e volta seja inferior a 4 horas (Art. 2º, §1º, IV).</w:t>
      </w:r>
    </w:p>
    <w:p w:rsidR="00FC4732" w:rsidRPr="00682B29" w:rsidRDefault="00FC4732" w:rsidP="00FC4732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Situações especiais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Finais de semana e feriados: pagamento apenas se expressamente demonstrada a necessidade de continuidade da missão (Art. 2º, IV).</w:t>
      </w:r>
    </w:p>
    <w:p w:rsidR="00B95D18" w:rsidRPr="00682B29" w:rsidRDefault="00B95D18" w:rsidP="00B95D18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Os deslocamentos devem ocorrer, preferencialmente, no mesmo dia de início e término da atividade. Assim, do contrário, o requerente deverá demonstrar necessidade de deslocamento em outras datas (</w:t>
      </w:r>
      <w:r w:rsidRPr="00682B29">
        <w:rPr>
          <w:rFonts w:ascii="Arial" w:hAnsi="Arial" w:cs="Arial"/>
          <w:sz w:val="24"/>
          <w:szCs w:val="24"/>
          <w:lang w:val="pt-BR"/>
        </w:rPr>
        <w:t>Art. 6º, § 3º).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Limite máximo de 10 diárias por ato autorizador, salvo exceções autorizadas pelo Procurador-Geral de Ju</w:t>
      </w:r>
      <w:r w:rsidR="00B95D18" w:rsidRPr="00682B29">
        <w:rPr>
          <w:rFonts w:ascii="Arial" w:hAnsi="Arial" w:cs="Arial"/>
          <w:sz w:val="24"/>
          <w:szCs w:val="24"/>
          <w:lang w:val="pt-BR"/>
        </w:rPr>
        <w:t>stiça (Art. 15</w:t>
      </w:r>
      <w:r w:rsidRPr="00682B29">
        <w:rPr>
          <w:rFonts w:ascii="Arial" w:hAnsi="Arial" w:cs="Arial"/>
          <w:sz w:val="24"/>
          <w:szCs w:val="24"/>
          <w:lang w:val="pt-BR"/>
        </w:rPr>
        <w:t>).</w:t>
      </w:r>
    </w:p>
    <w:p w:rsidR="00A973EF" w:rsidRPr="00682B29" w:rsidRDefault="00A973EF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Para qualificação, ressalvada conveniência da Administração Superior (Art. 8º, § 6º):</w:t>
      </w:r>
    </w:p>
    <w:p w:rsidR="00A973EF" w:rsidRPr="00682B29" w:rsidRDefault="00A973EF" w:rsidP="00A973EF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Até duas capacitações por exercício financeiro, com o pagamento máximo de três diárias por capacitação, quando realizadas em território nacional;</w:t>
      </w:r>
    </w:p>
    <w:p w:rsidR="00A973EF" w:rsidRPr="00682B29" w:rsidRDefault="00A973EF" w:rsidP="00A973EF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Alternativamente, uma capacitação internacional por exercício financeiro, com o pagamento de até três diárias.</w:t>
      </w:r>
    </w:p>
    <w:p w:rsidR="00FC4732" w:rsidRPr="00682B29" w:rsidRDefault="00FC4732" w:rsidP="00FC4732">
      <w:pPr>
        <w:pStyle w:val="Commarcadores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Valores aplicáveis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Definidos conforme cargo/função e natureza do deslocamento: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Membros</w:t>
      </w:r>
      <w:r w:rsidRPr="00682B29">
        <w:rPr>
          <w:rFonts w:ascii="Arial" w:hAnsi="Arial" w:cs="Arial"/>
          <w:sz w:val="24"/>
          <w:szCs w:val="24"/>
          <w:lang w:val="pt-BR"/>
        </w:rPr>
        <w:t>: Portaria nº 5247/2022-MP/PGJ.</w:t>
      </w:r>
    </w:p>
    <w:p w:rsidR="00FC4732" w:rsidRPr="00682B29" w:rsidRDefault="00FC4732" w:rsidP="00FC4732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Servidores e militares</w:t>
      </w:r>
      <w:r w:rsidRPr="00682B29">
        <w:rPr>
          <w:rFonts w:ascii="Arial" w:hAnsi="Arial" w:cs="Arial"/>
          <w:sz w:val="24"/>
          <w:szCs w:val="24"/>
          <w:lang w:val="pt-BR"/>
        </w:rPr>
        <w:t>: Portaria nº 5248/2022-MP/PGJ.</w:t>
      </w:r>
    </w:p>
    <w:p w:rsidR="00957568" w:rsidRPr="00682B29" w:rsidRDefault="00957568" w:rsidP="00FC473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:rsidR="00957568" w:rsidRPr="00682B29" w:rsidRDefault="00957568" w:rsidP="00957568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5. Prestação de Contas – Etapas e Requisitos</w:t>
      </w:r>
      <w:r w:rsidR="003C1BB0"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3C1BB0" w:rsidRPr="00682B29">
        <w:rPr>
          <w:rFonts w:ascii="Arial" w:hAnsi="Arial" w:cs="Arial"/>
          <w:sz w:val="24"/>
          <w:szCs w:val="24"/>
          <w:lang w:val="pt-BR"/>
        </w:rPr>
        <w:t>Porta</w:t>
      </w:r>
      <w:r w:rsidR="003C1BB0" w:rsidRPr="00682B29">
        <w:rPr>
          <w:rFonts w:ascii="Arial" w:hAnsi="Arial" w:cs="Arial"/>
          <w:sz w:val="24"/>
          <w:szCs w:val="24"/>
          <w:lang w:val="pt-BR"/>
        </w:rPr>
        <w:t>ria nº 3196/2025-MP/PGJ, Art. 10)</w:t>
      </w:r>
    </w:p>
    <w:p w:rsidR="00957568" w:rsidRPr="00682B29" w:rsidRDefault="00957568" w:rsidP="00957568">
      <w:pPr>
        <w:pStyle w:val="Commarcadores"/>
        <w:tabs>
          <w:tab w:val="clear" w:pos="360"/>
          <w:tab w:val="num" w:pos="720"/>
        </w:tabs>
        <w:ind w:left="72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 prestação de contas é obrigatória para todos os beneficiários de diárias, devendo comprovar a realização do deslocamento e o cumprimento da missão institucional. O processo segue as etapas abaixo:</w:t>
      </w:r>
    </w:p>
    <w:p w:rsidR="00957568" w:rsidRPr="00682B29" w:rsidRDefault="00957568" w:rsidP="000572CD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5.1. Prazo para Apresentação</w:t>
      </w:r>
    </w:p>
    <w:p w:rsidR="00957568" w:rsidRPr="00682B29" w:rsidRDefault="00957568" w:rsidP="00957568">
      <w:pPr>
        <w:pStyle w:val="Commarcadores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Prazo geral: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até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15 (quinze) dias úteis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contados a partir do término da missão (Ar</w:t>
      </w:r>
      <w:r w:rsidR="003C1BB0" w:rsidRPr="00682B29">
        <w:rPr>
          <w:rFonts w:ascii="Arial" w:hAnsi="Arial" w:cs="Arial"/>
          <w:sz w:val="24"/>
          <w:szCs w:val="24"/>
          <w:lang w:val="pt-BR"/>
        </w:rPr>
        <w:t>t. 1º, §5º</w:t>
      </w:r>
      <w:r w:rsidRPr="00682B29">
        <w:rPr>
          <w:rFonts w:ascii="Arial" w:hAnsi="Arial" w:cs="Arial"/>
          <w:sz w:val="24"/>
          <w:szCs w:val="24"/>
          <w:lang w:val="pt-BR"/>
        </w:rPr>
        <w:t>).</w:t>
      </w:r>
    </w:p>
    <w:p w:rsidR="00957568" w:rsidRPr="00682B29" w:rsidRDefault="00957568" w:rsidP="00957568">
      <w:pPr>
        <w:pStyle w:val="Commarcadores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Relatório de viagem: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prazo máximo de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30 (trinta) dias úteis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para saneamento de pendências; o descumprimento suspende o pagamento de fut</w:t>
      </w:r>
      <w:r w:rsidR="003C1BB0" w:rsidRPr="00682B29">
        <w:rPr>
          <w:rFonts w:ascii="Arial" w:hAnsi="Arial" w:cs="Arial"/>
          <w:sz w:val="24"/>
          <w:szCs w:val="24"/>
          <w:lang w:val="pt-BR"/>
        </w:rPr>
        <w:t>uras solicitações (Art. 10, §8º</w:t>
      </w:r>
      <w:r w:rsidRPr="00682B29">
        <w:rPr>
          <w:rFonts w:ascii="Arial" w:hAnsi="Arial" w:cs="Arial"/>
          <w:sz w:val="24"/>
          <w:szCs w:val="24"/>
          <w:lang w:val="pt-BR"/>
        </w:rPr>
        <w:t>).</w:t>
      </w:r>
    </w:p>
    <w:p w:rsidR="00957568" w:rsidRPr="00682B29" w:rsidRDefault="00957568" w:rsidP="00957568">
      <w:pPr>
        <w:pStyle w:val="Commarcadores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Nas Resoluções nº 7/2011 e nº 8/2011, o prazo para comprovação do deslocamento é de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15 dias corridos</w:t>
      </w:r>
      <w:r w:rsidRPr="00682B29">
        <w:rPr>
          <w:rFonts w:ascii="Arial" w:hAnsi="Arial" w:cs="Arial"/>
          <w:sz w:val="24"/>
          <w:szCs w:val="24"/>
          <w:lang w:val="pt-BR"/>
        </w:rPr>
        <w:t>.</w:t>
      </w:r>
    </w:p>
    <w:p w:rsidR="00957568" w:rsidRPr="00682B29" w:rsidRDefault="00957568" w:rsidP="0095756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:rsidR="00957568" w:rsidRPr="00682B29" w:rsidRDefault="00957568" w:rsidP="000572CD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5.2. Documento Principal</w:t>
      </w:r>
    </w:p>
    <w:p w:rsidR="00957568" w:rsidRPr="00682B29" w:rsidRDefault="00957568" w:rsidP="00957568">
      <w:pPr>
        <w:pStyle w:val="Commarcadores"/>
        <w:numPr>
          <w:ilvl w:val="0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Relatório de Viagem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(Anexo II) contendo: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Identificação do beneficiário e dados da viagem.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Objetivo do deslocamento.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Atividades desenvolvidas.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Resultados alcançados.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Informações sobre o meio de transporte utilizado.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Documentação comprobatória do deslocamento.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Indenizações ou restituições, quando houver.</w:t>
      </w:r>
    </w:p>
    <w:p w:rsidR="00957568" w:rsidRPr="00682B29" w:rsidRDefault="00957568" w:rsidP="00957568">
      <w:pPr>
        <w:pStyle w:val="Commarcadores"/>
        <w:numPr>
          <w:ilvl w:val="1"/>
          <w:numId w:val="19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Assinatura do beneficiário e da chefia imediata.</w:t>
      </w:r>
    </w:p>
    <w:p w:rsidR="00957568" w:rsidRPr="00682B29" w:rsidRDefault="00957568" w:rsidP="00957568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pt-BR"/>
        </w:rPr>
      </w:pPr>
    </w:p>
    <w:p w:rsidR="00957568" w:rsidRPr="00682B29" w:rsidRDefault="00957568" w:rsidP="000572CD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5.3. Documentos Comprobatórios</w:t>
      </w:r>
    </w:p>
    <w:p w:rsidR="00957568" w:rsidRPr="00682B29" w:rsidRDefault="00957568" w:rsidP="000572CD">
      <w:pPr>
        <w:pStyle w:val="Commarcadores"/>
        <w:tabs>
          <w:tab w:val="clear" w:pos="360"/>
          <w:tab w:val="num" w:pos="1440"/>
        </w:tabs>
        <w:ind w:left="144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São aceitos como prov</w:t>
      </w:r>
      <w:r w:rsidR="003C1BB0" w:rsidRPr="00682B29">
        <w:rPr>
          <w:rFonts w:ascii="Arial" w:hAnsi="Arial" w:cs="Arial"/>
          <w:sz w:val="24"/>
          <w:szCs w:val="24"/>
          <w:lang w:val="pt-BR"/>
        </w:rPr>
        <w:t>a do deslocamento (Art. 10, §1º</w:t>
      </w:r>
      <w:r w:rsidRPr="00682B29">
        <w:rPr>
          <w:rFonts w:ascii="Arial" w:hAnsi="Arial" w:cs="Arial"/>
          <w:sz w:val="24"/>
          <w:szCs w:val="24"/>
          <w:lang w:val="pt-BR"/>
        </w:rPr>
        <w:t>):</w:t>
      </w:r>
    </w:p>
    <w:p w:rsidR="00957568" w:rsidRPr="00682B29" w:rsidRDefault="00957568" w:rsidP="00957568">
      <w:pPr>
        <w:pStyle w:val="Commarcadores"/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Cartões de embarque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ou bilhetes de passagens rodoviárias, fluviais ou aéreas.</w:t>
      </w:r>
      <w:r w:rsidR="00422742">
        <w:rPr>
          <w:rFonts w:ascii="Arial" w:hAnsi="Arial" w:cs="Arial"/>
          <w:sz w:val="24"/>
          <w:szCs w:val="24"/>
          <w:lang w:val="pt-BR"/>
        </w:rPr>
        <w:t xml:space="preserve"> (</w:t>
      </w:r>
      <w:r w:rsidR="00422742">
        <w:rPr>
          <w:rFonts w:ascii="Arial" w:hAnsi="Arial" w:cs="Arial"/>
          <w:bCs/>
          <w:sz w:val="24"/>
          <w:szCs w:val="24"/>
          <w:lang w:val="pt-BR"/>
        </w:rPr>
        <w:t xml:space="preserve">GEDOC nº </w:t>
      </w:r>
      <w:r w:rsidR="00422742" w:rsidRPr="00422742">
        <w:rPr>
          <w:rFonts w:ascii="Arial" w:hAnsi="Arial" w:cs="Arial"/>
          <w:sz w:val="24"/>
          <w:szCs w:val="24"/>
        </w:rPr>
        <w:t>138671/2025</w:t>
      </w:r>
      <w:r w:rsidR="00422742">
        <w:rPr>
          <w:rFonts w:ascii="Arial" w:hAnsi="Arial" w:cs="Arial"/>
          <w:sz w:val="24"/>
          <w:szCs w:val="24"/>
        </w:rPr>
        <w:t>).</w:t>
      </w:r>
    </w:p>
    <w:p w:rsidR="00957568" w:rsidRDefault="00957568" w:rsidP="00957568">
      <w:pPr>
        <w:pStyle w:val="Commarcadores"/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Ficha de circulação do veículo oficial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(</w:t>
      </w:r>
      <w:r w:rsidR="00B97EFB">
        <w:rPr>
          <w:rFonts w:ascii="Arial" w:hAnsi="Arial" w:cs="Arial"/>
          <w:sz w:val="24"/>
          <w:szCs w:val="24"/>
          <w:lang w:val="pt-BR"/>
        </w:rPr>
        <w:t>bastante comum</w:t>
      </w:r>
      <w:r w:rsidRPr="00682B29">
        <w:rPr>
          <w:rFonts w:ascii="Arial" w:hAnsi="Arial" w:cs="Arial"/>
          <w:sz w:val="24"/>
          <w:szCs w:val="24"/>
          <w:lang w:val="pt-BR"/>
        </w:rPr>
        <w:t>).</w:t>
      </w:r>
    </w:p>
    <w:p w:rsidR="00B97EFB" w:rsidRPr="00B97EFB" w:rsidRDefault="00B97EFB" w:rsidP="00B97EFB">
      <w:pPr>
        <w:pStyle w:val="Commarcadores"/>
        <w:numPr>
          <w:ilvl w:val="1"/>
          <w:numId w:val="20"/>
        </w:numPr>
        <w:rPr>
          <w:rFonts w:ascii="Arial" w:hAnsi="Arial" w:cs="Arial"/>
          <w:bCs/>
          <w:sz w:val="24"/>
          <w:szCs w:val="24"/>
          <w:lang w:val="pt-BR"/>
        </w:rPr>
      </w:pPr>
      <w:r w:rsidRPr="00B97EFB">
        <w:rPr>
          <w:rFonts w:ascii="Arial" w:hAnsi="Arial" w:cs="Arial"/>
          <w:bCs/>
          <w:sz w:val="24"/>
          <w:szCs w:val="24"/>
          <w:lang w:val="pt-BR"/>
        </w:rPr>
        <w:t xml:space="preserve">Exemplos de </w:t>
      </w:r>
      <w:proofErr w:type="spellStart"/>
      <w:r w:rsidRPr="00B97EFB">
        <w:rPr>
          <w:rFonts w:ascii="Arial" w:hAnsi="Arial" w:cs="Arial"/>
          <w:bCs/>
          <w:sz w:val="24"/>
          <w:szCs w:val="24"/>
          <w:lang w:val="pt-BR"/>
        </w:rPr>
        <w:t>GEDOCs</w:t>
      </w:r>
      <w:proofErr w:type="spellEnd"/>
      <w:r w:rsidRPr="00B97EFB">
        <w:rPr>
          <w:rFonts w:ascii="Arial" w:hAnsi="Arial" w:cs="Arial"/>
          <w:bCs/>
          <w:sz w:val="24"/>
          <w:szCs w:val="24"/>
          <w:lang w:val="pt-BR"/>
        </w:rPr>
        <w:t xml:space="preserve"> com uso de carro oficial e, consequentemente, relatório de circulação: 128175/2025; 128142/2025; 127302/2025; 130602/2025; </w:t>
      </w:r>
    </w:p>
    <w:p w:rsidR="00957568" w:rsidRPr="00682B29" w:rsidRDefault="00957568" w:rsidP="00957568">
      <w:pPr>
        <w:pStyle w:val="Commarcadores"/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bookmarkStart w:id="0" w:name="_GoBack"/>
      <w:r w:rsidRPr="00682B29">
        <w:rPr>
          <w:rFonts w:ascii="Arial" w:hAnsi="Arial" w:cs="Arial"/>
          <w:b/>
          <w:bCs/>
          <w:sz w:val="24"/>
          <w:szCs w:val="24"/>
          <w:lang w:val="pt-BR"/>
        </w:rPr>
        <w:t>Certificados de participação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em cursos, seminários ou eventos.</w:t>
      </w:r>
    </w:p>
    <w:bookmarkEnd w:id="0"/>
    <w:p w:rsidR="00957568" w:rsidRPr="00682B29" w:rsidRDefault="00957568" w:rsidP="00957568">
      <w:pPr>
        <w:pStyle w:val="Commarcadores"/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Outros documentos válidos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que comprovem a execução da missão institucional.</w:t>
      </w:r>
    </w:p>
    <w:p w:rsidR="00957568" w:rsidRPr="00682B29" w:rsidRDefault="00957568" w:rsidP="00957568">
      <w:pPr>
        <w:pStyle w:val="Commarcadores"/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Declaração de próprio punho</w:t>
      </w:r>
      <w:r w:rsidRPr="00682B29">
        <w:rPr>
          <w:rFonts w:ascii="Arial" w:hAnsi="Arial" w:cs="Arial"/>
          <w:sz w:val="24"/>
          <w:szCs w:val="24"/>
          <w:lang w:val="pt-BR"/>
        </w:rPr>
        <w:t>, quando não houver documentação, devendo ser referendada pela chefia imediata (Art. 10, §2º).</w:t>
      </w:r>
    </w:p>
    <w:p w:rsidR="00957568" w:rsidRPr="00682B29" w:rsidRDefault="00957568" w:rsidP="000572CD">
      <w:pPr>
        <w:pStyle w:val="Commarcadores"/>
        <w:tabs>
          <w:tab w:val="clear" w:pos="360"/>
          <w:tab w:val="num" w:pos="1800"/>
        </w:tabs>
        <w:ind w:left="180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Importante: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Documentos judiciais ou extrajudiciais eletrônicos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não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são aceitos como comprovação (Art. 10, §5º).</w:t>
      </w:r>
    </w:p>
    <w:p w:rsidR="00682B29" w:rsidRPr="00682B29" w:rsidRDefault="00682B29" w:rsidP="00682B29">
      <w:pPr>
        <w:pStyle w:val="Commarcadores"/>
        <w:tabs>
          <w:tab w:val="clear" w:pos="360"/>
          <w:tab w:val="num" w:pos="1440"/>
        </w:tabs>
        <w:ind w:left="1440"/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Cs/>
          <w:sz w:val="24"/>
          <w:szCs w:val="24"/>
          <w:lang w:val="pt-BR"/>
        </w:rPr>
        <w:t>A partir da análise da documentação é possível identificar se o requerente deverá devolver valores, decorrente de deslocamento efetuado em período com quantitativo inferior ao concedido.</w:t>
      </w:r>
    </w:p>
    <w:p w:rsidR="00682B29" w:rsidRPr="005666F9" w:rsidRDefault="00682B29" w:rsidP="00682B29">
      <w:pPr>
        <w:pStyle w:val="Commarcadores"/>
        <w:tabs>
          <w:tab w:val="clear" w:pos="360"/>
          <w:tab w:val="num" w:pos="1440"/>
        </w:tabs>
        <w:ind w:left="144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Ressalta-se que nem sempre os documentos comprobatórios do deslocamento vêm anexos ao Relatório de Viagem</w:t>
      </w:r>
      <w:r w:rsidR="005666F9">
        <w:rPr>
          <w:rFonts w:ascii="Arial" w:hAnsi="Arial" w:cs="Arial"/>
          <w:bCs/>
          <w:sz w:val="24"/>
          <w:szCs w:val="24"/>
          <w:lang w:val="pt-BR"/>
        </w:rPr>
        <w:t>, ou seja, não estão presentes logo abaixo dessa etapa no protocolo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. Tal fato ocorre principalmente em viagens pretéritas, em que </w:t>
      </w:r>
      <w:proofErr w:type="gramStart"/>
      <w:r>
        <w:rPr>
          <w:rFonts w:ascii="Arial" w:hAnsi="Arial" w:cs="Arial"/>
          <w:bCs/>
          <w:sz w:val="24"/>
          <w:szCs w:val="24"/>
          <w:lang w:val="pt-BR"/>
        </w:rPr>
        <w:t>o requerente anexa</w:t>
      </w:r>
      <w:proofErr w:type="gramEnd"/>
      <w:r>
        <w:rPr>
          <w:rFonts w:ascii="Arial" w:hAnsi="Arial" w:cs="Arial"/>
          <w:bCs/>
          <w:sz w:val="24"/>
          <w:szCs w:val="24"/>
          <w:lang w:val="pt-BR"/>
        </w:rPr>
        <w:t>, já na etapa inicial de solicitação</w:t>
      </w:r>
      <w:r w:rsidR="005666F9">
        <w:rPr>
          <w:rFonts w:ascii="Arial" w:hAnsi="Arial" w:cs="Arial"/>
          <w:bCs/>
          <w:sz w:val="24"/>
          <w:szCs w:val="24"/>
          <w:lang w:val="pt-BR"/>
        </w:rPr>
        <w:t>,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os documentos que comprovam o deslocamento.</w:t>
      </w:r>
      <w:r w:rsidR="00752E9C">
        <w:rPr>
          <w:rFonts w:ascii="Arial" w:hAnsi="Arial" w:cs="Arial"/>
          <w:bCs/>
          <w:sz w:val="24"/>
          <w:szCs w:val="24"/>
          <w:lang w:val="pt-BR"/>
        </w:rPr>
        <w:t xml:space="preserve"> Ex.: GEDOC nº 122841/2025.</w:t>
      </w:r>
    </w:p>
    <w:p w:rsidR="005666F9" w:rsidRPr="00B97EFB" w:rsidRDefault="005666F9" w:rsidP="00682B29">
      <w:pPr>
        <w:pStyle w:val="Commarcadores"/>
        <w:tabs>
          <w:tab w:val="clear" w:pos="360"/>
          <w:tab w:val="num" w:pos="1440"/>
        </w:tabs>
        <w:ind w:left="144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Necessário identificar, caso ocorra alteração no período de deslocamento, se o requerente não apresenta solicitação de diárias para o novo período</w:t>
      </w:r>
      <w:r w:rsidR="00752E9C">
        <w:rPr>
          <w:rFonts w:ascii="Arial" w:hAnsi="Arial" w:cs="Arial"/>
          <w:bCs/>
          <w:sz w:val="24"/>
          <w:szCs w:val="24"/>
          <w:lang w:val="pt-BR"/>
        </w:rPr>
        <w:t>.</w:t>
      </w:r>
    </w:p>
    <w:p w:rsidR="00957568" w:rsidRPr="00682B29" w:rsidRDefault="00957568" w:rsidP="00957568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pt-BR"/>
        </w:rPr>
      </w:pPr>
    </w:p>
    <w:p w:rsidR="00957568" w:rsidRPr="00682B29" w:rsidRDefault="00957568" w:rsidP="000572CD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5.4. Análise e Aprovação</w:t>
      </w:r>
    </w:p>
    <w:p w:rsidR="00957568" w:rsidRPr="00682B29" w:rsidRDefault="00957568" w:rsidP="00957568">
      <w:pPr>
        <w:pStyle w:val="Commarcadores"/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O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ordenador de despesas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aprovará expressamente ou impugnará as contas apresentadas, com base na análise da documentação (Art. 10, §</w:t>
      </w:r>
      <w:r w:rsidR="001E49C4" w:rsidRPr="00682B29">
        <w:rPr>
          <w:rFonts w:ascii="Arial" w:hAnsi="Arial" w:cs="Arial"/>
          <w:sz w:val="24"/>
          <w:szCs w:val="24"/>
          <w:lang w:val="pt-BR"/>
        </w:rPr>
        <w:t xml:space="preserve">§ 3º e </w:t>
      </w:r>
      <w:r w:rsidRPr="00682B29">
        <w:rPr>
          <w:rFonts w:ascii="Arial" w:hAnsi="Arial" w:cs="Arial"/>
          <w:sz w:val="24"/>
          <w:szCs w:val="24"/>
          <w:lang w:val="pt-BR"/>
        </w:rPr>
        <w:t>9º).</w:t>
      </w:r>
    </w:p>
    <w:p w:rsidR="00957568" w:rsidRPr="00682B29" w:rsidRDefault="00957568" w:rsidP="00F96107">
      <w:pPr>
        <w:pStyle w:val="Commarcadores"/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 xml:space="preserve">A Administração pode exigir apresentação dos originais por até </w:t>
      </w: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 anos</w:t>
      </w:r>
      <w:r w:rsidR="001E49C4" w:rsidRPr="00682B29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F96107" w:rsidRPr="00682B29">
        <w:rPr>
          <w:rFonts w:ascii="Arial" w:hAnsi="Arial" w:cs="Arial"/>
          <w:bCs/>
          <w:sz w:val="24"/>
          <w:szCs w:val="24"/>
          <w:lang w:val="pt-BR"/>
        </w:rPr>
        <w:t>a contar da data do final evento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(Art. 10, §6º).</w:t>
      </w:r>
    </w:p>
    <w:p w:rsidR="00957568" w:rsidRPr="00682B29" w:rsidRDefault="00957568" w:rsidP="00957568">
      <w:pPr>
        <w:pStyle w:val="Commarcadores"/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sz w:val="24"/>
          <w:szCs w:val="24"/>
          <w:lang w:val="pt-BR"/>
        </w:rPr>
        <w:t>A ausência de comprovação dentro do prazo implica devolução dos valores recebidos, com atualização monetária, podendo ser descontado em folha (Art. 10, §7º).</w:t>
      </w:r>
    </w:p>
    <w:p w:rsidR="00957568" w:rsidRPr="00682B29" w:rsidRDefault="00957568" w:rsidP="00957568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pt-BR"/>
        </w:rPr>
      </w:pPr>
    </w:p>
    <w:p w:rsidR="00957568" w:rsidRPr="00682B29" w:rsidRDefault="00957568" w:rsidP="000572CD">
      <w:pPr>
        <w:pStyle w:val="Commarcadores"/>
        <w:tabs>
          <w:tab w:val="clear" w:pos="360"/>
          <w:tab w:val="num" w:pos="1080"/>
        </w:tabs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5.5. Restituição e Complementação</w:t>
      </w:r>
    </w:p>
    <w:p w:rsidR="00957568" w:rsidRPr="00682B29" w:rsidRDefault="00957568" w:rsidP="00957568">
      <w:pPr>
        <w:pStyle w:val="Commarcadores"/>
        <w:numPr>
          <w:ilvl w:val="0"/>
          <w:numId w:val="22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Complementação de diárias ou ressarcimento</w:t>
      </w:r>
      <w:r w:rsidRPr="00682B29">
        <w:rPr>
          <w:rFonts w:ascii="Arial" w:hAnsi="Arial" w:cs="Arial"/>
          <w:sz w:val="24"/>
          <w:szCs w:val="24"/>
          <w:lang w:val="pt-BR"/>
        </w:rPr>
        <w:t xml:space="preserve"> de despesas com alimentação e transporte: solicitados no relatório de viagem (Art. 11).</w:t>
      </w:r>
    </w:p>
    <w:p w:rsidR="00957568" w:rsidRDefault="00957568" w:rsidP="00957568">
      <w:pPr>
        <w:pStyle w:val="Commarcadores"/>
        <w:numPr>
          <w:ilvl w:val="0"/>
          <w:numId w:val="22"/>
        </w:numPr>
        <w:rPr>
          <w:rFonts w:ascii="Arial" w:hAnsi="Arial" w:cs="Arial"/>
          <w:sz w:val="24"/>
          <w:szCs w:val="24"/>
          <w:lang w:val="pt-BR"/>
        </w:rPr>
      </w:pPr>
      <w:r w:rsidRPr="00682B29">
        <w:rPr>
          <w:rFonts w:ascii="Arial" w:hAnsi="Arial" w:cs="Arial"/>
          <w:b/>
          <w:bCs/>
          <w:sz w:val="24"/>
          <w:szCs w:val="24"/>
          <w:lang w:val="pt-BR"/>
        </w:rPr>
        <w:t>Restituição de valores</w:t>
      </w:r>
      <w:r w:rsidRPr="00682B29">
        <w:rPr>
          <w:rFonts w:ascii="Arial" w:hAnsi="Arial" w:cs="Arial"/>
          <w:sz w:val="24"/>
          <w:szCs w:val="24"/>
          <w:lang w:val="pt-BR"/>
        </w:rPr>
        <w:t>: depósito em conta do MP, protocolizado com o relatório (Art. 13). O não pagamento em até 15 dias úteis gera desconto em folha.</w:t>
      </w:r>
    </w:p>
    <w:p w:rsidR="00682B29" w:rsidRDefault="00682B29" w:rsidP="00682B29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97EFB" w:rsidRDefault="00B97EFB" w:rsidP="00752E9C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97EFB" w:rsidRDefault="00B97EFB" w:rsidP="00752E9C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97EFB" w:rsidRDefault="00B97EFB" w:rsidP="00752E9C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B9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122E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95DE1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74C3B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F48AF"/>
    <w:multiLevelType w:val="hybridMultilevel"/>
    <w:tmpl w:val="543E2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648B5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C7BEE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C3FBF"/>
    <w:multiLevelType w:val="multilevel"/>
    <w:tmpl w:val="981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39A0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F0BE3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A5BA7"/>
    <w:multiLevelType w:val="multilevel"/>
    <w:tmpl w:val="D4A4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C0939"/>
    <w:multiLevelType w:val="multilevel"/>
    <w:tmpl w:val="EE3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C3946"/>
    <w:multiLevelType w:val="multilevel"/>
    <w:tmpl w:val="F97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A2C70"/>
    <w:multiLevelType w:val="multilevel"/>
    <w:tmpl w:val="EF449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8"/>
  </w:num>
  <w:num w:numId="13">
    <w:abstractNumId w:val="17"/>
  </w:num>
  <w:num w:numId="14">
    <w:abstractNumId w:val="14"/>
  </w:num>
  <w:num w:numId="15">
    <w:abstractNumId w:val="19"/>
  </w:num>
  <w:num w:numId="16">
    <w:abstractNumId w:val="13"/>
  </w:num>
  <w:num w:numId="17">
    <w:abstractNumId w:val="8"/>
  </w:num>
  <w:num w:numId="18">
    <w:abstractNumId w:val="12"/>
  </w:num>
  <w:num w:numId="19">
    <w:abstractNumId w:val="10"/>
  </w:num>
  <w:num w:numId="20">
    <w:abstractNumId w:val="16"/>
  </w:num>
  <w:num w:numId="21">
    <w:abstractNumId w:val="20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72CD"/>
    <w:rsid w:val="0006063C"/>
    <w:rsid w:val="0006455A"/>
    <w:rsid w:val="000928A4"/>
    <w:rsid w:val="00110B5D"/>
    <w:rsid w:val="0015074B"/>
    <w:rsid w:val="001B0FD1"/>
    <w:rsid w:val="001E49C4"/>
    <w:rsid w:val="002247B0"/>
    <w:rsid w:val="002249FA"/>
    <w:rsid w:val="0029639D"/>
    <w:rsid w:val="00326F90"/>
    <w:rsid w:val="003C1BB0"/>
    <w:rsid w:val="00422742"/>
    <w:rsid w:val="00471252"/>
    <w:rsid w:val="005414BD"/>
    <w:rsid w:val="005666F9"/>
    <w:rsid w:val="005C153C"/>
    <w:rsid w:val="005D5872"/>
    <w:rsid w:val="005F7CD7"/>
    <w:rsid w:val="00617583"/>
    <w:rsid w:val="00645824"/>
    <w:rsid w:val="00682B29"/>
    <w:rsid w:val="00752E9C"/>
    <w:rsid w:val="00803EA3"/>
    <w:rsid w:val="008621D3"/>
    <w:rsid w:val="00956CE4"/>
    <w:rsid w:val="00957568"/>
    <w:rsid w:val="00A973EF"/>
    <w:rsid w:val="00AA1D8D"/>
    <w:rsid w:val="00B47730"/>
    <w:rsid w:val="00B95D18"/>
    <w:rsid w:val="00B97EFB"/>
    <w:rsid w:val="00CB0664"/>
    <w:rsid w:val="00D97E6F"/>
    <w:rsid w:val="00EA6B23"/>
    <w:rsid w:val="00F96107"/>
    <w:rsid w:val="00FC290A"/>
    <w:rsid w:val="00FC47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8E34098-BA9A-4D31-93CB-FFB2CD74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C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71DE31-4C98-4E3B-BB5D-FC8D80F1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1558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SOARES DOS SANTOS JÚNIOR</cp:lastModifiedBy>
  <cp:revision>11</cp:revision>
  <dcterms:created xsi:type="dcterms:W3CDTF">2013-12-23T23:15:00Z</dcterms:created>
  <dcterms:modified xsi:type="dcterms:W3CDTF">2025-08-13T16:26:00Z</dcterms:modified>
  <cp:category/>
</cp:coreProperties>
</file>