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Probabilistic Decline Curve Analysis Report</w:t>
      </w:r>
    </w:p>
    <w:p>
      <w:pPr>
        <w:pStyle w:val="Heading1"/>
      </w:pPr>
      <w:r>
        <w:t>1. Overview</w:t>
      </w:r>
    </w:p>
    <w:p>
      <w:r>
        <w:t>This report summarizes the results of the probabilistic decline curve analysis, including data cleaning, Monte Carlo sampling, model fitting, hindcast testing, and EUR analysis.</w:t>
      </w:r>
    </w:p>
    <w:p>
      <w:pPr>
        <w:pStyle w:val="Heading1"/>
      </w:pPr>
      <w:r>
        <w:t>2. Initial Production Data &amp; LOF Outlier Detection</w:t>
      </w:r>
    </w:p>
    <w:p>
      <w:pPr>
        <w:pStyle w:val="Heading2"/>
      </w:pPr>
      <w:r>
        <w:t>Initial Production Data with LOF Outlier Detection</w:t>
      </w:r>
    </w:p>
    <w:p>
      <w:r>
        <w:drawing>
          <wp:inline xmlns:a="http://schemas.openxmlformats.org/drawingml/2006/main" xmlns:pic="http://schemas.openxmlformats.org/drawingml/2006/picture">
            <wp:extent cx="5486400" cy="3257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Monte Carlo Sampling</w:t>
      </w:r>
    </w:p>
    <w:p>
      <w:pPr>
        <w:pStyle w:val="Heading2"/>
      </w:pPr>
      <w:r>
        <w:t>Monte Carlo Sampling Distribution</w:t>
      </w:r>
    </w:p>
    <w:p>
      <w:r>
        <w:drawing>
          <wp:inline xmlns:a="http://schemas.openxmlformats.org/drawingml/2006/main" xmlns:pic="http://schemas.openxmlformats.org/drawingml/2006/picture">
            <wp:extent cx="5486400" cy="36889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8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Model Training Fit</w:t>
      </w:r>
    </w:p>
    <w:p>
      <w:pPr>
        <w:pStyle w:val="Heading2"/>
      </w:pPr>
      <w:r>
        <w:t>Training Fit — ARPS</w:t>
      </w:r>
    </w:p>
    <w:p>
      <w:r>
        <w:drawing>
          <wp:inline xmlns:a="http://schemas.openxmlformats.org/drawingml/2006/main" xmlns:pic="http://schemas.openxmlformats.org/drawingml/2006/picture">
            <wp:extent cx="5486400" cy="37162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Training Fit — SEM</w:t>
      </w:r>
    </w:p>
    <w:p>
      <w:r>
        <w:drawing>
          <wp:inline xmlns:a="http://schemas.openxmlformats.org/drawingml/2006/main" xmlns:pic="http://schemas.openxmlformats.org/drawingml/2006/picture">
            <wp:extent cx="5486400" cy="371621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Training Fit — CRM</w:t>
      </w:r>
    </w:p>
    <w:p>
      <w:r>
        <w:drawing>
          <wp:inline xmlns:a="http://schemas.openxmlformats.org/drawingml/2006/main" xmlns:pic="http://schemas.openxmlformats.org/drawingml/2006/picture">
            <wp:extent cx="5486400" cy="371621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Training Fit — LGM</w:t>
      </w:r>
    </w:p>
    <w:p>
      <w:r>
        <w:drawing>
          <wp:inline xmlns:a="http://schemas.openxmlformats.org/drawingml/2006/main" xmlns:pic="http://schemas.openxmlformats.org/drawingml/2006/picture">
            <wp:extent cx="5486400" cy="371621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Marginal Posterior Probabilities of Models</w:t>
      </w:r>
    </w:p>
    <w:p>
      <w:pPr>
        <w:pStyle w:val="Heading2"/>
      </w:pPr>
      <w:r>
        <w:t>Model Posterior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35493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Hindcast Test</w:t>
      </w:r>
    </w:p>
    <w:p>
      <w:pPr>
        <w:pStyle w:val="Heading2"/>
      </w:pPr>
      <w:r>
        <w:t>Hindcast Test — ARPS</w:t>
      </w:r>
    </w:p>
    <w:p>
      <w:r>
        <w:drawing>
          <wp:inline xmlns:a="http://schemas.openxmlformats.org/drawingml/2006/main" xmlns:pic="http://schemas.openxmlformats.org/drawingml/2006/picture">
            <wp:extent cx="5486400" cy="374506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Hindcast Test — SEM</w:t>
      </w:r>
    </w:p>
    <w:p>
      <w:r>
        <w:drawing>
          <wp:inline xmlns:a="http://schemas.openxmlformats.org/drawingml/2006/main" xmlns:pic="http://schemas.openxmlformats.org/drawingml/2006/picture">
            <wp:extent cx="5486400" cy="374506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Hindcast Test — CRM</w:t>
      </w:r>
    </w:p>
    <w:p>
      <w:r>
        <w:drawing>
          <wp:inline xmlns:a="http://schemas.openxmlformats.org/drawingml/2006/main" xmlns:pic="http://schemas.openxmlformats.org/drawingml/2006/picture">
            <wp:extent cx="5486400" cy="374506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Hindcast Test — LGM</w:t>
      </w:r>
    </w:p>
    <w:p>
      <w:r>
        <w:drawing>
          <wp:inline xmlns:a="http://schemas.openxmlformats.org/drawingml/2006/main" xmlns:pic="http://schemas.openxmlformats.org/drawingml/2006/picture">
            <wp:extent cx="5486400" cy="374506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Model-Specific EUR Statistics</w:t>
      </w:r>
    </w:p>
    <w:p>
      <w:pPr>
        <w:pStyle w:val="Heading2"/>
      </w:pPr>
      <w:r>
        <w:t>Per Model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p10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mean</w:t>
            </w:r>
          </w:p>
        </w:tc>
        <w:tc>
          <w:tcPr>
            <w:tcW w:type="dxa" w:w="1728"/>
          </w:tcPr>
          <w:p>
            <w:r>
              <w:t>p90</w:t>
            </w:r>
          </w:p>
        </w:tc>
      </w:tr>
      <w:tr>
        <w:tc>
          <w:tcPr>
            <w:tcW w:type="dxa" w:w="1728"/>
          </w:tcPr>
          <w:p>
            <w:r>
              <w:t>arps</w:t>
            </w:r>
          </w:p>
        </w:tc>
        <w:tc>
          <w:tcPr>
            <w:tcW w:type="dxa" w:w="1728"/>
          </w:tcPr>
          <w:p>
            <w:r>
              <w:t>151,596</w:t>
            </w:r>
          </w:p>
        </w:tc>
        <w:tc>
          <w:tcPr>
            <w:tcW w:type="dxa" w:w="1728"/>
          </w:tcPr>
          <w:p>
            <w:r>
              <w:t>160,734</w:t>
            </w:r>
          </w:p>
        </w:tc>
        <w:tc>
          <w:tcPr>
            <w:tcW w:type="dxa" w:w="1728"/>
          </w:tcPr>
          <w:p>
            <w:r>
              <w:t>162,664</w:t>
            </w:r>
          </w:p>
        </w:tc>
        <w:tc>
          <w:tcPr>
            <w:tcW w:type="dxa" w:w="1728"/>
          </w:tcPr>
          <w:p>
            <w:r>
              <w:t>177,200</w:t>
            </w:r>
          </w:p>
        </w:tc>
      </w:tr>
      <w:tr>
        <w:tc>
          <w:tcPr>
            <w:tcW w:type="dxa" w:w="1728"/>
          </w:tcPr>
          <w:p>
            <w:r>
              <w:t>sem</w:t>
            </w:r>
          </w:p>
        </w:tc>
        <w:tc>
          <w:tcPr>
            <w:tcW w:type="dxa" w:w="1728"/>
          </w:tcPr>
          <w:p>
            <w:r>
              <w:t>139,413</w:t>
            </w:r>
          </w:p>
        </w:tc>
        <w:tc>
          <w:tcPr>
            <w:tcW w:type="dxa" w:w="1728"/>
          </w:tcPr>
          <w:p>
            <w:r>
              <w:t>140,735</w:t>
            </w:r>
          </w:p>
        </w:tc>
        <w:tc>
          <w:tcPr>
            <w:tcW w:type="dxa" w:w="1728"/>
          </w:tcPr>
          <w:p>
            <w:r>
              <w:t>141,913</w:t>
            </w:r>
          </w:p>
        </w:tc>
        <w:tc>
          <w:tcPr>
            <w:tcW w:type="dxa" w:w="1728"/>
          </w:tcPr>
          <w:p>
            <w:r>
              <w:t>145,638</w:t>
            </w:r>
          </w:p>
        </w:tc>
      </w:tr>
      <w:tr>
        <w:tc>
          <w:tcPr>
            <w:tcW w:type="dxa" w:w="1728"/>
          </w:tcPr>
          <w:p>
            <w:r>
              <w:t>crm</w:t>
            </w:r>
          </w:p>
        </w:tc>
        <w:tc>
          <w:tcPr>
            <w:tcW w:type="dxa" w:w="1728"/>
          </w:tcPr>
          <w:p>
            <w:r>
              <w:t>131,511</w:t>
            </w:r>
          </w:p>
        </w:tc>
        <w:tc>
          <w:tcPr>
            <w:tcW w:type="dxa" w:w="1728"/>
          </w:tcPr>
          <w:p>
            <w:r>
              <w:t>131,795</w:t>
            </w:r>
          </w:p>
        </w:tc>
        <w:tc>
          <w:tcPr>
            <w:tcW w:type="dxa" w:w="1728"/>
          </w:tcPr>
          <w:p>
            <w:r>
              <w:t>132,188</w:t>
            </w:r>
          </w:p>
        </w:tc>
        <w:tc>
          <w:tcPr>
            <w:tcW w:type="dxa" w:w="1728"/>
          </w:tcPr>
          <w:p>
            <w:r>
              <w:t>132,811</w:t>
            </w:r>
          </w:p>
        </w:tc>
      </w:tr>
      <w:tr>
        <w:tc>
          <w:tcPr>
            <w:tcW w:type="dxa" w:w="1728"/>
          </w:tcPr>
          <w:p>
            <w:r>
              <w:t>lgm</w:t>
            </w:r>
          </w:p>
        </w:tc>
        <w:tc>
          <w:tcPr>
            <w:tcW w:type="dxa" w:w="1728"/>
          </w:tcPr>
          <w:p>
            <w:r>
              <w:t>162,863</w:t>
            </w:r>
          </w:p>
        </w:tc>
        <w:tc>
          <w:tcPr>
            <w:tcW w:type="dxa" w:w="1728"/>
          </w:tcPr>
          <w:p>
            <w:r>
              <w:t>164,999</w:t>
            </w:r>
          </w:p>
        </w:tc>
        <w:tc>
          <w:tcPr>
            <w:tcW w:type="dxa" w:w="1728"/>
          </w:tcPr>
          <w:p>
            <w:r>
              <w:t>166,458</w:t>
            </w:r>
          </w:p>
        </w:tc>
        <w:tc>
          <w:tcPr>
            <w:tcW w:type="dxa" w:w="1728"/>
          </w:tcPr>
          <w:p>
            <w:r>
              <w:t>172,448</w:t>
            </w:r>
          </w:p>
        </w:tc>
      </w:tr>
    </w:tbl>
    <w:p>
      <w:pPr>
        <w:pStyle w:val="Heading1"/>
      </w:pPr>
      <w:r>
        <w:t>8. Combined EUR Statistics</w:t>
      </w:r>
    </w:p>
    <w:p>
      <w:pPr>
        <w:pStyle w:val="Heading2"/>
      </w:pPr>
      <w:r>
        <w:t>Combined EUR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p10</w:t>
            </w:r>
          </w:p>
        </w:tc>
        <w:tc>
          <w:tcPr>
            <w:tcW w:type="dxa" w:w="1440"/>
          </w:tcPr>
          <w:p>
            <w:r>
              <w:t>p25</w:t>
            </w:r>
          </w:p>
        </w:tc>
        <w:tc>
          <w:tcPr>
            <w:tcW w:type="dxa" w:w="1440"/>
          </w:tcPr>
          <w:p>
            <w:r>
              <w:t>p50</w:t>
            </w:r>
          </w:p>
        </w:tc>
        <w:tc>
          <w:tcPr>
            <w:tcW w:type="dxa" w:w="1440"/>
          </w:tcPr>
          <w:p>
            <w:r>
              <w:t>p75</w:t>
            </w:r>
          </w:p>
        </w:tc>
        <w:tc>
          <w:tcPr>
            <w:tcW w:type="dxa" w:w="1440"/>
          </w:tcPr>
          <w:p>
            <w:r>
              <w:t>p90</w:t>
            </w:r>
          </w:p>
        </w:tc>
        <w:tc>
          <w:tcPr>
            <w:tcW w:type="dxa" w:w="1440"/>
          </w:tcPr>
          <w:p>
            <w:r>
              <w:t>mean</w:t>
            </w:r>
          </w:p>
        </w:tc>
      </w:tr>
      <w:tr>
        <w:tc>
          <w:tcPr>
            <w:tcW w:type="dxa" w:w="1440"/>
          </w:tcPr>
          <w:p>
            <w:r>
              <w:t>132,755</w:t>
            </w:r>
          </w:p>
        </w:tc>
        <w:tc>
          <w:tcPr>
            <w:tcW w:type="dxa" w:w="1440"/>
          </w:tcPr>
          <w:p>
            <w:r>
              <w:t>133,050</w:t>
            </w:r>
          </w:p>
        </w:tc>
        <w:tc>
          <w:tcPr>
            <w:tcW w:type="dxa" w:w="1440"/>
          </w:tcPr>
          <w:p>
            <w:r>
              <w:t>134,373</w:t>
            </w:r>
          </w:p>
        </w:tc>
        <w:tc>
          <w:tcPr>
            <w:tcW w:type="dxa" w:w="1440"/>
          </w:tcPr>
          <w:p>
            <w:r>
              <w:t>138,572</w:t>
            </w:r>
          </w:p>
        </w:tc>
        <w:tc>
          <w:tcPr>
            <w:tcW w:type="dxa" w:w="1440"/>
          </w:tcPr>
          <w:p>
            <w:r>
              <w:t>146,500</w:t>
            </w:r>
          </w:p>
        </w:tc>
        <w:tc>
          <w:tcPr>
            <w:tcW w:type="dxa" w:w="1440"/>
          </w:tcPr>
          <w:p>
            <w:r>
              <w:t>137,443</w:t>
            </w:r>
          </w:p>
        </w:tc>
      </w:tr>
    </w:tbl>
    <w:p>
      <w:pPr>
        <w:pStyle w:val="Heading2"/>
      </w:pPr>
      <w:r>
        <w:t>Multi-Model Probabilistic EUR Boxplot</w:t>
      </w:r>
    </w:p>
    <w:p>
      <w:r>
        <w:drawing>
          <wp:inline xmlns:a="http://schemas.openxmlformats.org/drawingml/2006/main" xmlns:pic="http://schemas.openxmlformats.org/drawingml/2006/picture">
            <wp:extent cx="5486400" cy="35650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5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Conclusion</w:t>
      </w:r>
    </w:p>
    <w:p>
      <w:r>
        <w:t>The multi-model probabilistic approach produces robust production forecasts and EUR estimates by integrating model uncertainty and measurement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