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Probabilistic Decline Curve Analysis Report</w:t>
      </w:r>
    </w:p>
    <w:p>
      <w:pPr>
        <w:pStyle w:val="Heading1"/>
      </w:pPr>
      <w:r>
        <w:t>1. Overview</w:t>
      </w:r>
    </w:p>
    <w:p>
      <w:r>
        <w:t>This report summarizes the results of the probabilistic decline curve analysis, including model fitting, probabilistic forecasts, and estimated ultimate recovery (EUR) analysis.</w:t>
      </w:r>
    </w:p>
    <w:p>
      <w:pPr>
        <w:pStyle w:val="Heading1"/>
      </w:pPr>
      <w:r>
        <w:t>2. Initial Production Data &amp; Outlier Detection</w:t>
      </w:r>
    </w:p>
    <w:p>
      <w:pPr>
        <w:pStyle w:val="Heading2"/>
      </w:pPr>
      <w:r>
        <w:t>Initial Production Data with LOF Outlier Detection</w:t>
      </w:r>
    </w:p>
    <w:p>
      <w:r>
        <w:drawing>
          <wp:inline xmlns:a="http://schemas.openxmlformats.org/drawingml/2006/main" xmlns:pic="http://schemas.openxmlformats.org/drawingml/2006/picture">
            <wp:extent cx="5486400" cy="3264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Marginal Posterior Probabilities of Models</w:t>
      </w:r>
    </w:p>
    <w:p>
      <w:pPr>
        <w:pStyle w:val="Heading2"/>
      </w:pPr>
      <w:r>
        <w:t>Model Posterior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3549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Model-Specific EUR Statistics</w:t>
      </w:r>
    </w:p>
    <w:p>
      <w:pPr>
        <w:pStyle w:val="Heading2"/>
      </w:pPr>
      <w:r>
        <w:t>Per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p90</w:t>
            </w:r>
          </w:p>
        </w:tc>
      </w:tr>
      <w:tr>
        <w:tc>
          <w:tcPr>
            <w:tcW w:type="dxa" w:w="1728"/>
          </w:tcPr>
          <w:p>
            <w:r>
              <w:t>arps</w:t>
            </w:r>
          </w:p>
        </w:tc>
        <w:tc>
          <w:tcPr>
            <w:tcW w:type="dxa" w:w="1728"/>
          </w:tcPr>
          <w:p>
            <w:r>
              <w:t>857,501</w:t>
            </w:r>
          </w:p>
        </w:tc>
        <w:tc>
          <w:tcPr>
            <w:tcW w:type="dxa" w:w="1728"/>
          </w:tcPr>
          <w:p>
            <w:r>
              <w:t>860,673</w:t>
            </w:r>
          </w:p>
        </w:tc>
        <w:tc>
          <w:tcPr>
            <w:tcW w:type="dxa" w:w="1728"/>
          </w:tcPr>
          <w:p>
            <w:r>
              <w:t>860,526</w:t>
            </w:r>
          </w:p>
        </w:tc>
        <w:tc>
          <w:tcPr>
            <w:tcW w:type="dxa" w:w="1728"/>
          </w:tcPr>
          <w:p>
            <w:r>
              <w:t>863,385</w:t>
            </w:r>
          </w:p>
        </w:tc>
      </w:tr>
      <w:tr>
        <w:tc>
          <w:tcPr>
            <w:tcW w:type="dxa" w:w="1728"/>
          </w:tcPr>
          <w:p>
            <w:r>
              <w:t>sem</w:t>
            </w:r>
          </w:p>
        </w:tc>
        <w:tc>
          <w:tcPr>
            <w:tcW w:type="dxa" w:w="1728"/>
          </w:tcPr>
          <w:p>
            <w:r>
              <w:t>676,201</w:t>
            </w:r>
          </w:p>
        </w:tc>
        <w:tc>
          <w:tcPr>
            <w:tcW w:type="dxa" w:w="1728"/>
          </w:tcPr>
          <w:p>
            <w:r>
              <w:t>688,371</w:t>
            </w:r>
          </w:p>
        </w:tc>
        <w:tc>
          <w:tcPr>
            <w:tcW w:type="dxa" w:w="1728"/>
          </w:tcPr>
          <w:p>
            <w:r>
              <w:t>712,954</w:t>
            </w:r>
          </w:p>
        </w:tc>
        <w:tc>
          <w:tcPr>
            <w:tcW w:type="dxa" w:w="1728"/>
          </w:tcPr>
          <w:p>
            <w:r>
              <w:t>776,327</w:t>
            </w:r>
          </w:p>
        </w:tc>
      </w:tr>
      <w:tr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476,172</w:t>
            </w:r>
          </w:p>
        </w:tc>
        <w:tc>
          <w:tcPr>
            <w:tcW w:type="dxa" w:w="1728"/>
          </w:tcPr>
          <w:p>
            <w:r>
              <w:t>493,445</w:t>
            </w:r>
          </w:p>
        </w:tc>
        <w:tc>
          <w:tcPr>
            <w:tcW w:type="dxa" w:w="1728"/>
          </w:tcPr>
          <w:p>
            <w:r>
              <w:t>494,115</w:t>
            </w:r>
          </w:p>
        </w:tc>
        <w:tc>
          <w:tcPr>
            <w:tcW w:type="dxa" w:w="1728"/>
          </w:tcPr>
          <w:p>
            <w:r>
              <w:t>513,190</w:t>
            </w:r>
          </w:p>
        </w:tc>
      </w:tr>
      <w:tr>
        <w:tc>
          <w:tcPr>
            <w:tcW w:type="dxa" w:w="1728"/>
          </w:tcPr>
          <w:p>
            <w:r>
              <w:t>lgm</w:t>
            </w:r>
          </w:p>
        </w:tc>
        <w:tc>
          <w:tcPr>
            <w:tcW w:type="dxa" w:w="1728"/>
          </w:tcPr>
          <w:p>
            <w:r>
              <w:t>618,564</w:t>
            </w:r>
          </w:p>
        </w:tc>
        <w:tc>
          <w:tcPr>
            <w:tcW w:type="dxa" w:w="1728"/>
          </w:tcPr>
          <w:p>
            <w:r>
              <w:t>749,456</w:t>
            </w:r>
          </w:p>
        </w:tc>
        <w:tc>
          <w:tcPr>
            <w:tcW w:type="dxa" w:w="1728"/>
          </w:tcPr>
          <w:p>
            <w:r>
              <w:t>739,082</w:t>
            </w:r>
          </w:p>
        </w:tc>
        <w:tc>
          <w:tcPr>
            <w:tcW w:type="dxa" w:w="1728"/>
          </w:tcPr>
          <w:p>
            <w:r>
              <w:t>846,714</w:t>
            </w:r>
          </w:p>
        </w:tc>
      </w:tr>
    </w:tbl>
    <w:p>
      <w:pPr>
        <w:pStyle w:val="Heading1"/>
      </w:pPr>
      <w:r>
        <w:t>5. Combined EUR Statistics</w:t>
      </w:r>
    </w:p>
    <w:p>
      <w:pPr>
        <w:pStyle w:val="Heading2"/>
      </w:pPr>
      <w:r>
        <w:t>Combined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p10</w:t>
            </w:r>
          </w:p>
        </w:tc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631,396</w:t>
            </w:r>
          </w:p>
        </w:tc>
        <w:tc>
          <w:tcPr>
            <w:tcW w:type="dxa" w:w="2160"/>
          </w:tcPr>
          <w:p>
            <w:r>
              <w:t>769,090</w:t>
            </w:r>
          </w:p>
        </w:tc>
        <w:tc>
          <w:tcPr>
            <w:tcW w:type="dxa" w:w="2160"/>
          </w:tcPr>
          <w:p>
            <w:r>
              <w:t>751,871</w:t>
            </w:r>
          </w:p>
        </w:tc>
        <w:tc>
          <w:tcPr>
            <w:tcW w:type="dxa" w:w="2160"/>
          </w:tcPr>
          <w:p>
            <w:r>
              <w:t>846,281</w:t>
            </w:r>
          </w:p>
        </w:tc>
      </w:tr>
    </w:tbl>
    <w:p>
      <w:pPr>
        <w:pStyle w:val="Heading1"/>
      </w:pPr>
      <w:r>
        <w:t>6. Conclusion</w:t>
      </w:r>
    </w:p>
    <w:p>
      <w:r>
        <w:t>The analysis demonstrates the range of production forecasts and uncertainties associated with the selected decline curve models. Multi-model probabilistic forecasts provide a robust outlook for future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