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Probabilistic Decline Curve Analysis Report</w:t>
      </w:r>
    </w:p>
    <w:p>
      <w:pPr>
        <w:pStyle w:val="Heading1"/>
      </w:pPr>
      <w:r>
        <w:t>1. Overview</w:t>
      </w:r>
    </w:p>
    <w:p>
      <w:r>
        <w:t>This report summarizes the results of the probabilistic decline curve analysis, including model fitting, probabilistic forecasts, and estimated ultimate recovery (EUR) analysis.</w:t>
      </w:r>
    </w:p>
    <w:p>
      <w:pPr>
        <w:pStyle w:val="Heading1"/>
      </w:pPr>
      <w:r>
        <w:t>2. Initial Production Data &amp; Outlier Detection</w:t>
      </w:r>
    </w:p>
    <w:p>
      <w:pPr>
        <w:pStyle w:val="Heading2"/>
      </w:pPr>
      <w:r>
        <w:t>Initial Production Data with LOF Outlier Detection</w:t>
      </w:r>
    </w:p>
    <w:p>
      <w:r>
        <w:drawing>
          <wp:inline xmlns:a="http://schemas.openxmlformats.org/drawingml/2006/main" xmlns:pic="http://schemas.openxmlformats.org/drawingml/2006/picture">
            <wp:extent cx="5486400" cy="3257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Marginal Posterior Probabilities of Models</w:t>
      </w:r>
    </w:p>
    <w:p>
      <w:pPr>
        <w:pStyle w:val="Heading2"/>
      </w:pPr>
      <w:r>
        <w:t>Model Posterior Probabilities</w:t>
      </w:r>
    </w:p>
    <w:p>
      <w:r>
        <w:drawing>
          <wp:inline xmlns:a="http://schemas.openxmlformats.org/drawingml/2006/main" xmlns:pic="http://schemas.openxmlformats.org/drawingml/2006/picture">
            <wp:extent cx="5486400" cy="35493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3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Model-Specific EUR Statistics</w:t>
      </w:r>
    </w:p>
    <w:p>
      <w:pPr>
        <w:pStyle w:val="Heading2"/>
      </w:pPr>
      <w:r>
        <w:t>Per Model EUR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p10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mean</w:t>
            </w:r>
          </w:p>
        </w:tc>
        <w:tc>
          <w:tcPr>
            <w:tcW w:type="dxa" w:w="1728"/>
          </w:tcPr>
          <w:p>
            <w:r>
              <w:t>p90</w:t>
            </w:r>
          </w:p>
        </w:tc>
      </w:tr>
      <w:tr>
        <w:tc>
          <w:tcPr>
            <w:tcW w:type="dxa" w:w="1728"/>
          </w:tcPr>
          <w:p>
            <w:r>
              <w:t>arps</w:t>
            </w:r>
          </w:p>
        </w:tc>
        <w:tc>
          <w:tcPr>
            <w:tcW w:type="dxa" w:w="1728"/>
          </w:tcPr>
          <w:p>
            <w:r>
              <w:t>151,596</w:t>
            </w:r>
          </w:p>
        </w:tc>
        <w:tc>
          <w:tcPr>
            <w:tcW w:type="dxa" w:w="1728"/>
          </w:tcPr>
          <w:p>
            <w:r>
              <w:t>160,734</w:t>
            </w:r>
          </w:p>
        </w:tc>
        <w:tc>
          <w:tcPr>
            <w:tcW w:type="dxa" w:w="1728"/>
          </w:tcPr>
          <w:p>
            <w:r>
              <w:t>162,664</w:t>
            </w:r>
          </w:p>
        </w:tc>
        <w:tc>
          <w:tcPr>
            <w:tcW w:type="dxa" w:w="1728"/>
          </w:tcPr>
          <w:p>
            <w:r>
              <w:t>177,200</w:t>
            </w:r>
          </w:p>
        </w:tc>
      </w:tr>
      <w:tr>
        <w:tc>
          <w:tcPr>
            <w:tcW w:type="dxa" w:w="1728"/>
          </w:tcPr>
          <w:p>
            <w:r>
              <w:t>sem</w:t>
            </w:r>
          </w:p>
        </w:tc>
        <w:tc>
          <w:tcPr>
            <w:tcW w:type="dxa" w:w="1728"/>
          </w:tcPr>
          <w:p>
            <w:r>
              <w:t>139,413</w:t>
            </w:r>
          </w:p>
        </w:tc>
        <w:tc>
          <w:tcPr>
            <w:tcW w:type="dxa" w:w="1728"/>
          </w:tcPr>
          <w:p>
            <w:r>
              <w:t>140,735</w:t>
            </w:r>
          </w:p>
        </w:tc>
        <w:tc>
          <w:tcPr>
            <w:tcW w:type="dxa" w:w="1728"/>
          </w:tcPr>
          <w:p>
            <w:r>
              <w:t>141,913</w:t>
            </w:r>
          </w:p>
        </w:tc>
        <w:tc>
          <w:tcPr>
            <w:tcW w:type="dxa" w:w="1728"/>
          </w:tcPr>
          <w:p>
            <w:r>
              <w:t>145,638</w:t>
            </w:r>
          </w:p>
        </w:tc>
      </w:tr>
      <w:tr>
        <w:tc>
          <w:tcPr>
            <w:tcW w:type="dxa" w:w="1728"/>
          </w:tcPr>
          <w:p>
            <w:r>
              <w:t>crm</w:t>
            </w:r>
          </w:p>
        </w:tc>
        <w:tc>
          <w:tcPr>
            <w:tcW w:type="dxa" w:w="1728"/>
          </w:tcPr>
          <w:p>
            <w:r>
              <w:t>131,511</w:t>
            </w:r>
          </w:p>
        </w:tc>
        <w:tc>
          <w:tcPr>
            <w:tcW w:type="dxa" w:w="1728"/>
          </w:tcPr>
          <w:p>
            <w:r>
              <w:t>131,795</w:t>
            </w:r>
          </w:p>
        </w:tc>
        <w:tc>
          <w:tcPr>
            <w:tcW w:type="dxa" w:w="1728"/>
          </w:tcPr>
          <w:p>
            <w:r>
              <w:t>132,188</w:t>
            </w:r>
          </w:p>
        </w:tc>
        <w:tc>
          <w:tcPr>
            <w:tcW w:type="dxa" w:w="1728"/>
          </w:tcPr>
          <w:p>
            <w:r>
              <w:t>132,811</w:t>
            </w:r>
          </w:p>
        </w:tc>
      </w:tr>
      <w:tr>
        <w:tc>
          <w:tcPr>
            <w:tcW w:type="dxa" w:w="1728"/>
          </w:tcPr>
          <w:p>
            <w:r>
              <w:t>lgm</w:t>
            </w:r>
          </w:p>
        </w:tc>
        <w:tc>
          <w:tcPr>
            <w:tcW w:type="dxa" w:w="1728"/>
          </w:tcPr>
          <w:p>
            <w:r>
              <w:t>162,863</w:t>
            </w:r>
          </w:p>
        </w:tc>
        <w:tc>
          <w:tcPr>
            <w:tcW w:type="dxa" w:w="1728"/>
          </w:tcPr>
          <w:p>
            <w:r>
              <w:t>164,999</w:t>
            </w:r>
          </w:p>
        </w:tc>
        <w:tc>
          <w:tcPr>
            <w:tcW w:type="dxa" w:w="1728"/>
          </w:tcPr>
          <w:p>
            <w:r>
              <w:t>166,458</w:t>
            </w:r>
          </w:p>
        </w:tc>
        <w:tc>
          <w:tcPr>
            <w:tcW w:type="dxa" w:w="1728"/>
          </w:tcPr>
          <w:p>
            <w:r>
              <w:t>172,448</w:t>
            </w:r>
          </w:p>
        </w:tc>
      </w:tr>
    </w:tbl>
    <w:p>
      <w:pPr>
        <w:pStyle w:val="Heading1"/>
      </w:pPr>
      <w:r>
        <w:t>5. Combined EUR Statistics</w:t>
      </w:r>
    </w:p>
    <w:p>
      <w:pPr>
        <w:pStyle w:val="Heading2"/>
      </w:pPr>
      <w:r>
        <w:t>Combined Model EUR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p10</w:t>
            </w:r>
          </w:p>
        </w:tc>
        <w:tc>
          <w:tcPr>
            <w:tcW w:type="dxa" w:w="2160"/>
          </w:tcPr>
          <w:p>
            <w:r>
              <w:t>p50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p90</w:t>
            </w:r>
          </w:p>
        </w:tc>
      </w:tr>
      <w:tr>
        <w:tc>
          <w:tcPr>
            <w:tcW w:type="dxa" w:w="2160"/>
          </w:tcPr>
          <w:p>
            <w:r>
              <w:t>132,762</w:t>
            </w:r>
          </w:p>
        </w:tc>
        <w:tc>
          <w:tcPr>
            <w:tcW w:type="dxa" w:w="2160"/>
          </w:tcPr>
          <w:p>
            <w:r>
              <w:t>134,329</w:t>
            </w:r>
          </w:p>
        </w:tc>
        <w:tc>
          <w:tcPr>
            <w:tcW w:type="dxa" w:w="2160"/>
          </w:tcPr>
          <w:p>
            <w:r>
              <w:t>137,314</w:t>
            </w:r>
          </w:p>
        </w:tc>
        <w:tc>
          <w:tcPr>
            <w:tcW w:type="dxa" w:w="2160"/>
          </w:tcPr>
          <w:p>
            <w:r>
              <w:t>145,958</w:t>
            </w:r>
          </w:p>
        </w:tc>
      </w:tr>
    </w:tbl>
    <w:p>
      <w:pPr>
        <w:pStyle w:val="Heading1"/>
      </w:pPr>
      <w:r>
        <w:t>6. Conclusion</w:t>
      </w:r>
    </w:p>
    <w:p>
      <w:r>
        <w:t>The analysis demonstrates the range of production forecasts and uncertainties associated with the selected decline curve models. Multi-model probabilistic forecasts provide a robust outlook for future production.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