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563EB"/>
          <w:spacing w:val="200"/>
          <w:sz w:val="20"/>
          <w:szCs w:val="20"/>
        </w:rPr>
        <w:t xml:space="preserve">INCORPORATE123</w:t>
      </w:r>
    </w:p>
    <w:p>
      <w:pPr>
        <w:spacing w:after="600"/>
        <w:jc w:val="center"/>
      </w:pPr>
      <w:r>
        <w:rPr>
          <w:rFonts w:ascii="Arial" w:cs="Arial" w:eastAsia="Arial" w:hAnsi="Arial"/>
          <w:color w:val="6B7280"/>
          <w:sz w:val="22"/>
          <w:szCs w:val="22"/>
        </w:rPr>
        <w:t xml:space="preserve">Website Redesign Project</w:t>
      </w:r>
    </w:p>
    <w:p>
      <w:pPr>
        <w:spacing w:after="80"/>
        <w:jc w:val="center"/>
      </w:pPr>
      <w:r>
        <w:rPr>
          <w:rFonts w:ascii="Arial" w:cs="Arial" w:eastAsia="Arial" w:hAnsi="Arial"/>
          <w:b/>
          <w:bCs/>
          <w:color w:val="1E3A5F"/>
          <w:sz w:val="48"/>
          <w:szCs w:val="48"/>
        </w:rPr>
        <w:t xml:space="preserve">HOMEPAGE DESIGN</w:t>
      </w:r>
    </w:p>
    <w:p>
      <w:pPr>
        <w:spacing w:after="400"/>
        <w:jc w:val="center"/>
      </w:pPr>
      <w:r>
        <w:rPr>
          <w:rFonts w:ascii="Arial" w:cs="Arial" w:eastAsia="Arial" w:hAnsi="Arial"/>
          <w:b/>
          <w:bCs/>
          <w:color w:val="1E3A5F"/>
          <w:sz w:val="48"/>
          <w:szCs w:val="48"/>
        </w:rPr>
        <w:t xml:space="preserve">PRINCIPLES</w:t>
      </w:r>
    </w:p>
    <w:p>
      <w:pPr>
        <w:pBdr>
          <w:top w:val="single" w:color="2563EB" w:sz="2" w:space="12"/>
        </w:pBdr>
        <w:spacing w:after="120" w:before="200"/>
        <w:jc w:val="center"/>
      </w:pPr>
      <w:r>
        <w:rPr>
          <w:rFonts w:ascii="Arial" w:cs="Arial" w:eastAsia="Arial" w:hAnsi="Arial"/>
          <w:color w:val="6B7280"/>
          <w:sz w:val="22"/>
          <w:szCs w:val="22"/>
        </w:rPr>
        <w:t xml:space="preserve">12 Governing Principles for Phase 2 Homepage Design</w:t>
      </w:r>
    </w:p>
    <w:p>
      <w:pPr>
        <w:spacing w:after="40"/>
        <w:jc w:val="center"/>
      </w:pPr>
      <w:r>
        <w:rPr>
          <w:rFonts w:ascii="Arial" w:cs="Arial" w:eastAsia="Arial" w:hAnsi="Arial"/>
          <w:color w:val="6B7280"/>
          <w:sz w:val="18"/>
          <w:szCs w:val="18"/>
        </w:rPr>
        <w:t xml:space="preserve">Derived from: Positioning Framework, Brand Guide, User Journey Mapping,</w:t>
      </w:r>
    </w:p>
    <w:p>
      <w:pPr>
        <w:spacing w:after="600"/>
        <w:jc w:val="center"/>
      </w:pPr>
      <w:r>
        <w:rPr>
          <w:rFonts w:ascii="Arial" w:cs="Arial" w:eastAsia="Arial" w:hAnsi="Arial"/>
          <w:color w:val="6B7280"/>
          <w:sz w:val="18"/>
          <w:szCs w:val="18"/>
        </w:rPr>
        <w:t xml:space="preserve">Phase 2 UX Design Scope, SOW, and Client Discovery Sessions</w:t>
      </w:r>
    </w:p>
    <w:p>
      <w:pPr>
        <w:spacing w:after="80"/>
        <w:jc w:val="center"/>
      </w:pPr>
      <w:r>
        <w:rPr>
          <w:rFonts w:ascii="Arial" w:cs="Arial" w:eastAsia="Arial" w:hAnsi="Arial"/>
          <w:color w:val="6B7280"/>
          <w:sz w:val="20"/>
          <w:szCs w:val="20"/>
        </w:rPr>
        <w:t xml:space="preserve">Prepared for: </w:t>
      </w:r>
      <w:r>
        <w:rPr>
          <w:rFonts w:ascii="Arial" w:cs="Arial" w:eastAsia="Arial" w:hAnsi="Arial"/>
          <w:b/>
          <w:bCs/>
          <w:color w:val="1E3A5F"/>
          <w:sz w:val="20"/>
          <w:szCs w:val="20"/>
        </w:rPr>
        <w:t xml:space="preserve">David, Incorporate123</w:t>
      </w:r>
    </w:p>
    <w:p>
      <w:pPr>
        <w:spacing w:after="80"/>
        <w:jc w:val="center"/>
      </w:pPr>
      <w:r>
        <w:rPr>
          <w:rFonts w:ascii="Arial" w:cs="Arial" w:eastAsia="Arial" w:hAnsi="Arial"/>
          <w:color w:val="6B7280"/>
          <w:sz w:val="20"/>
          <w:szCs w:val="20"/>
        </w:rPr>
        <w:t xml:space="preserve">Prepared by: </w:t>
      </w:r>
      <w:r>
        <w:rPr>
          <w:rFonts w:ascii="Arial" w:cs="Arial" w:eastAsia="Arial" w:hAnsi="Arial"/>
          <w:b/>
          <w:bCs/>
          <w:color w:val="1E3A5F"/>
          <w:sz w:val="20"/>
          <w:szCs w:val="20"/>
        </w:rPr>
        <w:t xml:space="preserve">BIT Studios</w:t>
      </w:r>
    </w:p>
    <w:p>
      <w:pPr>
        <w:spacing w:after="200"/>
        <w:jc w:val="center"/>
      </w:pPr>
      <w:r>
        <w:rPr>
          <w:rFonts w:ascii="Arial" w:cs="Arial" w:eastAsia="Arial" w:hAnsi="Arial"/>
          <w:color w:val="6B7280"/>
          <w:sz w:val="20"/>
          <w:szCs w:val="20"/>
        </w:rPr>
        <w:t xml:space="preserve">March 2026 • Phase 2 Reference Document</w:t>
      </w:r>
    </w:p>
    <w:p>
      <w:r>
        <w:br w:type="page"/>
      </w:r>
    </w:p>
    <w:p>
      <w:pPr>
        <w:pStyle w:val="Heading1"/>
        <w:pBdr>
          <w:bottom w:val="single" w:color="2563EB" w:sz="4" w:space="8"/>
        </w:pBdr>
        <w:spacing w:after="200" w:before="400"/>
      </w:pPr>
      <w:r>
        <w:rPr>
          <w:rFonts w:ascii="Arial" w:cs="Arial" w:eastAsia="Arial" w:hAnsi="Arial"/>
          <w:b/>
          <w:bCs/>
          <w:color w:val="1E3A5F"/>
          <w:sz w:val="28"/>
          <w:szCs w:val="28"/>
        </w:rPr>
        <w:t xml:space="preserve">How to Use This Document</w:t>
      </w:r>
    </w:p>
    <w:p>
      <w:pPr>
        <w:spacing w:after="120" w:before="80" w:line="300"/>
      </w:pPr>
      <w:r>
        <w:rPr>
          <w:rFonts w:ascii="Arial" w:cs="Arial" w:eastAsia="Arial" w:hAnsi="Arial"/>
          <w:color w:val="1F2937"/>
          <w:sz w:val="21"/>
          <w:szCs w:val="21"/>
        </w:rPr>
        <w:t xml:space="preserve">This document defines the 12 governing principles for the Incorporate123 homepage design. Every layout decision, content block, and interaction pattern on the homepage should be evaluated against these principles before approval.</w:t>
      </w:r>
    </w:p>
    <w:p>
      <w:pPr>
        <w:spacing w:after="120" w:before="80" w:line="300"/>
      </w:pPr>
      <w:r>
        <w:rPr>
          <w:rFonts w:ascii="Arial" w:cs="Arial" w:eastAsia="Arial" w:hAnsi="Arial"/>
          <w:color w:val="1F2937"/>
          <w:sz w:val="21"/>
          <w:szCs w:val="21"/>
        </w:rPr>
        <w:t xml:space="preserve">Each principle includes the rule itself, the strategic rationale connecting it to project strategy, and specific Do/Don’t guidance for practical application during wireframing, prototyping, and visual design.</w:t>
      </w:r>
    </w:p>
    <w:p>
      <w:pPr>
        <w:spacing w:after="120" w:before="80" w:line="300"/>
      </w:pPr>
      <w:r>
        <w:rPr>
          <w:rFonts w:ascii="Arial" w:cs="Arial" w:eastAsia="Arial" w:hAnsi="Arial"/>
          <w:color w:val="1F2937"/>
          <w:sz w:val="21"/>
          <w:szCs w:val="21"/>
        </w:rPr>
        <w:t xml:space="preserve">These principles are derived from the approved Phase 1 deliverables: the Positioning Framework, Brand Guide v2, User Journey Mapping, Validated Site Architecture, Phase 2 UX Design Scope, and the SOW. Where a principle conflicts with a design decision, the principle governs unless the underlying strategy document is formally revised.</w:t>
      </w:r>
    </w:p>
    <w:p>
      <w:pPr>
        <w:spacing w:after="0" w:before="100"/>
      </w:pPr>
    </w:p>
    <w:p>
      <w:pPr>
        <w:pStyle w:val="Heading2"/>
        <w:spacing w:after="160" w:before="320"/>
      </w:pPr>
      <w:r>
        <w:rPr>
          <w:rFonts w:ascii="Arial" w:cs="Arial" w:eastAsia="Arial" w:hAnsi="Arial"/>
          <w:b/>
          <w:bCs/>
          <w:color w:val="1E3A5F"/>
          <w:sz w:val="24"/>
          <w:szCs w:val="24"/>
        </w:rPr>
        <w:t xml:space="preserve">Principle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5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One-Line Summary</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2563EB"/>
                <w:sz w:val="19"/>
                <w:szCs w:val="19"/>
              </w:rPr>
              <w:t xml:space="preserve">1</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Intent-First, Not Geography-First</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Route visitors by goal, not geography.</w:t>
            </w:r>
          </w:p>
        </w:tc>
      </w:tr>
      <w:tr>
        <w:tc>
          <w:tcPr>
            <w:tcW w:type="dxa" w:w="6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vAlign w:val="center"/>
          </w:tcPr>
          <w:p>
            <w:pPr>
              <w:jc w:val="center"/>
            </w:pPr>
            <w:r>
              <w:rPr>
                <w:rFonts w:ascii="Arial" w:cs="Arial" w:eastAsia="Arial" w:hAnsi="Arial"/>
                <w:b/>
                <w:bCs/>
                <w:color w:val="2563EB"/>
                <w:sz w:val="19"/>
                <w:szCs w:val="19"/>
              </w:rPr>
              <w:t xml:space="preserve">2</w:t>
            </w:r>
          </w:p>
        </w:tc>
        <w:tc>
          <w:tcPr>
            <w:tcW w:type="dxa" w:w="36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b/>
                <w:bCs/>
                <w:color w:val="1E3A5F"/>
                <w:sz w:val="19"/>
                <w:szCs w:val="19"/>
              </w:rPr>
              <w:t xml:space="preserve">80/20 Progressive Disclosure</w:t>
            </w:r>
          </w:p>
        </w:tc>
        <w:tc>
          <w:tcPr>
            <w:tcW w:type="dxa" w:w="516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color w:val="1F2937"/>
                <w:sz w:val="19"/>
                <w:szCs w:val="19"/>
              </w:rPr>
              <w:t xml:space="preserve">Scannable for 80%; expandable for 20%.</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2563EB"/>
                <w:sz w:val="19"/>
                <w:szCs w:val="19"/>
              </w:rPr>
              <w:t xml:space="preserve">3</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Stage-Skipping Is Mandatory</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Every page serves both learners and ready-to-buy visitors.</w:t>
            </w:r>
          </w:p>
        </w:tc>
      </w:tr>
      <w:tr>
        <w:tc>
          <w:tcPr>
            <w:tcW w:type="dxa" w:w="6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vAlign w:val="center"/>
          </w:tcPr>
          <w:p>
            <w:pPr>
              <w:jc w:val="center"/>
            </w:pPr>
            <w:r>
              <w:rPr>
                <w:rFonts w:ascii="Arial" w:cs="Arial" w:eastAsia="Arial" w:hAnsi="Arial"/>
                <w:b/>
                <w:bCs/>
                <w:color w:val="2563EB"/>
                <w:sz w:val="19"/>
                <w:szCs w:val="19"/>
              </w:rPr>
              <w:t xml:space="preserve">4</w:t>
            </w:r>
          </w:p>
        </w:tc>
        <w:tc>
          <w:tcPr>
            <w:tcW w:type="dxa" w:w="36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b/>
                <w:bCs/>
                <w:color w:val="1E3A5F"/>
                <w:sz w:val="19"/>
                <w:szCs w:val="19"/>
              </w:rPr>
              <w:t xml:space="preserve">One Primary + One Secondary CTA Per Section</w:t>
            </w:r>
          </w:p>
        </w:tc>
        <w:tc>
          <w:tcPr>
            <w:tcW w:type="dxa" w:w="516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color w:val="1F2937"/>
                <w:sz w:val="19"/>
                <w:szCs w:val="19"/>
              </w:rPr>
              <w:t xml:space="preserve">One amber primary + one ghost secondary per section. No triple buttons.</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2563EB"/>
                <w:sz w:val="19"/>
                <w:szCs w:val="19"/>
              </w:rPr>
              <w:t xml:space="preserve">5</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Above-Fold CTA Presence</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At least one CTA visible without scrolling on every viewport.</w:t>
            </w:r>
          </w:p>
        </w:tc>
      </w:tr>
      <w:tr>
        <w:tc>
          <w:tcPr>
            <w:tcW w:type="dxa" w:w="6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vAlign w:val="center"/>
          </w:tcPr>
          <w:p>
            <w:pPr>
              <w:jc w:val="center"/>
            </w:pPr>
            <w:r>
              <w:rPr>
                <w:rFonts w:ascii="Arial" w:cs="Arial" w:eastAsia="Arial" w:hAnsi="Arial"/>
                <w:b/>
                <w:bCs/>
                <w:color w:val="2563EB"/>
                <w:sz w:val="19"/>
                <w:szCs w:val="19"/>
              </w:rPr>
              <w:t xml:space="preserve">6</w:t>
            </w:r>
          </w:p>
        </w:tc>
        <w:tc>
          <w:tcPr>
            <w:tcW w:type="dxa" w:w="36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b/>
                <w:bCs/>
                <w:color w:val="1E3A5F"/>
                <w:sz w:val="19"/>
                <w:szCs w:val="19"/>
              </w:rPr>
              <w:t xml:space="preserve">Gold-First Package Hierarchy</w:t>
            </w:r>
          </w:p>
        </w:tc>
        <w:tc>
          <w:tcPr>
            <w:tcW w:type="dxa" w:w="516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color w:val="1F2937"/>
                <w:sz w:val="19"/>
                <w:szCs w:val="19"/>
              </w:rPr>
              <w:t xml:space="preserve">Gold first, highlighted, with renewal rate shown. Bronze minimal.</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2563EB"/>
                <w:sz w:val="19"/>
                <w:szCs w:val="19"/>
              </w:rPr>
              <w:t xml:space="preserve">7</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Trust Compensates for Zero Reviews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Six structural trust signals compensate for zero public reviews.</w:t>
            </w:r>
          </w:p>
        </w:tc>
      </w:tr>
      <w:tr>
        <w:tc>
          <w:tcPr>
            <w:tcW w:type="dxa" w:w="6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vAlign w:val="center"/>
          </w:tcPr>
          <w:p>
            <w:pPr>
              <w:jc w:val="center"/>
            </w:pPr>
            <w:r>
              <w:rPr>
                <w:rFonts w:ascii="Arial" w:cs="Arial" w:eastAsia="Arial" w:hAnsi="Arial"/>
                <w:b/>
                <w:bCs/>
                <w:color w:val="2563EB"/>
                <w:sz w:val="19"/>
                <w:szCs w:val="19"/>
              </w:rPr>
              <w:t xml:space="preserve">8</w:t>
            </w:r>
          </w:p>
        </w:tc>
        <w:tc>
          <w:tcPr>
            <w:tcW w:type="dxa" w:w="36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b/>
                <w:bCs/>
                <w:color w:val="1E3A5F"/>
                <w:sz w:val="19"/>
                <w:szCs w:val="19"/>
              </w:rPr>
              <w:t xml:space="preserve">Privacy Is the Lead Message</w:t>
            </w:r>
          </w:p>
        </w:tc>
        <w:tc>
          <w:tcPr>
            <w:tcW w:type="dxa" w:w="516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color w:val="1F2937"/>
                <w:sz w:val="19"/>
                <w:szCs w:val="19"/>
              </w:rPr>
              <w:t xml:space="preserve">Hero headline, first pillar card, and dominant visual weight = privacy.</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2563EB"/>
                <w:sz w:val="19"/>
                <w:szCs w:val="19"/>
              </w:rPr>
              <w:t xml:space="preserve">9</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Pillar Color-Coding Starts Here</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Privacy blue, AP green, Formation amber, Compliance purple—set here.</w:t>
            </w:r>
          </w:p>
        </w:tc>
      </w:tr>
      <w:tr>
        <w:tc>
          <w:tcPr>
            <w:tcW w:type="dxa" w:w="6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vAlign w:val="center"/>
          </w:tcPr>
          <w:p>
            <w:pPr>
              <w:jc w:val="center"/>
            </w:pPr>
            <w:r>
              <w:rPr>
                <w:rFonts w:ascii="Arial" w:cs="Arial" w:eastAsia="Arial" w:hAnsi="Arial"/>
                <w:b/>
                <w:bCs/>
                <w:color w:val="2563EB"/>
                <w:sz w:val="19"/>
                <w:szCs w:val="19"/>
              </w:rPr>
              <w:t xml:space="preserve">10</w:t>
            </w:r>
          </w:p>
        </w:tc>
        <w:tc>
          <w:tcPr>
            <w:tcW w:type="dxa" w:w="36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b/>
                <w:bCs/>
                <w:color w:val="1E3A5F"/>
                <w:sz w:val="19"/>
                <w:szCs w:val="19"/>
              </w:rPr>
              <w:t xml:space="preserve">No Fear-Based Selling</w:t>
            </w:r>
          </w:p>
        </w:tc>
        <w:tc>
          <w:tcPr>
            <w:tcW w:type="dxa" w:w="516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color w:val="1F2937"/>
                <w:sz w:val="19"/>
                <w:szCs w:val="19"/>
              </w:rPr>
              <w:t xml:space="preserve">Specific numbers persuade. Urgency language repels this audience.</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pPr>
              <w:jc w:val="center"/>
            </w:pPr>
            <w:r>
              <w:rPr>
                <w:rFonts w:ascii="Arial" w:cs="Arial" w:eastAsia="Arial" w:hAnsi="Arial"/>
                <w:b/>
                <w:bCs/>
                <w:color w:val="2563EB"/>
                <w:sz w:val="19"/>
                <w:szCs w:val="19"/>
              </w:rPr>
              <w:t xml:space="preserve">11</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Mobile-First Conversion</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Sticky CTA bar, pillar-structured menu, tap-to-call phone icon.</w:t>
            </w:r>
          </w:p>
        </w:tc>
      </w:tr>
      <w:tr>
        <w:tc>
          <w:tcPr>
            <w:tcW w:type="dxa" w:w="6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vAlign w:val="center"/>
          </w:tcPr>
          <w:p>
            <w:pPr>
              <w:jc w:val="center"/>
            </w:pPr>
            <w:r>
              <w:rPr>
                <w:rFonts w:ascii="Arial" w:cs="Arial" w:eastAsia="Arial" w:hAnsi="Arial"/>
                <w:b/>
                <w:bCs/>
                <w:color w:val="2563EB"/>
                <w:sz w:val="19"/>
                <w:szCs w:val="19"/>
              </w:rPr>
              <w:t xml:space="preserve">12</w:t>
            </w:r>
          </w:p>
        </w:tc>
        <w:tc>
          <w:tcPr>
            <w:tcW w:type="dxa" w:w="36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b/>
                <w:bCs/>
                <w:color w:val="1E3A5F"/>
                <w:sz w:val="19"/>
                <w:szCs w:val="19"/>
              </w:rPr>
              <w:t xml:space="preserve">Premium Positioning, Never Price Competition</w:t>
            </w:r>
          </w:p>
        </w:tc>
        <w:tc>
          <w:tcPr>
            <w:tcW w:type="dxa" w:w="516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color w:val="1F2937"/>
                <w:sz w:val="19"/>
                <w:szCs w:val="19"/>
              </w:rPr>
              <w:t xml:space="preserve">Justify premium through included value. Never apologize for pricing.</w:t>
            </w:r>
          </w:p>
        </w:tc>
      </w:tr>
    </w:tbl>
    <w:p>
      <w:r>
        <w:br w:type="page"/>
      </w:r>
    </w:p>
    <w:p>
      <w:pPr>
        <w:pStyle w:val="Heading1"/>
        <w:pBdr>
          <w:bottom w:val="single" w:color="2563EB" w:sz="4" w:space="8"/>
        </w:pBdr>
        <w:spacing w:after="200" w:before="400"/>
      </w:pPr>
      <w:r>
        <w:rPr>
          <w:rFonts w:ascii="Arial" w:cs="Arial" w:eastAsia="Arial" w:hAnsi="Arial"/>
          <w:b/>
          <w:bCs/>
          <w:color w:val="1E3A5F"/>
          <w:sz w:val="28"/>
          <w:szCs w:val="28"/>
        </w:rPr>
        <w:t xml:space="preserve">Homepage Design Principles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0F4F8" w:val="clear"/>
            <w:tcMar>
              <w:top w:type="dxa" w:w="140"/>
              <w:left w:type="dxa" w:w="200"/>
              <w:bottom w:type="dxa" w:w="100"/>
              <w:right w:type="dxa" w:w="200"/>
            </w:tcMar>
          </w:tcPr>
          <w:p>
            <w:pPr>
              <w:spacing w:after="60"/>
            </w:pPr>
            <w:r>
              <w:rPr>
                <w:rFonts w:ascii="Arial" w:cs="Arial" w:eastAsia="Arial" w:hAnsi="Arial"/>
                <w:b/>
                <w:bCs/>
                <w:caps/>
                <w:color w:val="2563EB"/>
                <w:sz w:val="16"/>
                <w:szCs w:val="16"/>
              </w:rPr>
              <w:t xml:space="preserve">PRINCIPLE 1</w:t>
            </w:r>
          </w:p>
          <w:p>
            <w:pPr>
              <w:spacing w:after="0"/>
            </w:pPr>
            <w:r>
              <w:rPr>
                <w:rFonts w:ascii="Arial" w:cs="Arial" w:eastAsia="Arial" w:hAnsi="Arial"/>
                <w:b/>
                <w:bCs/>
                <w:color w:val="1E3A5F"/>
                <w:sz w:val="24"/>
                <w:szCs w:val="24"/>
              </w:rPr>
              <w:t xml:space="preserve">Intent-First, Not Geography-First</w:t>
            </w:r>
          </w:p>
        </w:tc>
      </w:tr>
      <w:tr>
        <w:tc>
          <w:tcPr>
            <w:tcW w:type="dxa" w:w="9360"/>
            <w:tcBorders>
              <w:top w:val="none" w:color="FFFFFF" w:sz="0"/>
              <w:left w:val="none" w:color="FFFFFF" w:sz="0"/>
              <w:bottom w:val="none" w:color="FFFFFF" w:sz="0"/>
              <w:right w:val="none" w:color="FFFFFF" w:sz="0"/>
            </w:tcBorders>
            <w:tcMar>
              <w:top w:type="dxa" w:w="120"/>
              <w:left w:type="dxa" w:w="200"/>
              <w:bottom w:type="dxa" w:w="120"/>
              <w:right w:type="dxa" w:w="200"/>
            </w:tcMar>
          </w:tcPr>
          <w:p>
            <w:pPr>
              <w:spacing w:after="0" w:before="0" w:line="300"/>
            </w:pPr>
            <w:r>
              <w:rPr>
                <w:rFonts w:ascii="Arial" w:cs="Arial" w:eastAsia="Arial" w:hAnsi="Arial"/>
                <w:color w:val="1F2937"/>
                <w:sz w:val="21"/>
                <w:szCs w:val="21"/>
              </w:rPr>
              <w:t xml:space="preserve">The homepage asks “what do you need?” not “which state?” Privacy leads the hierarchy, followed by Asset Protection, then Formation. Visitors choose their goal—jurisdiction only enters the picture after intent is established. This is the core of the repositioning from “Nevada incorporation company” to “Privacy, Asset Protection &amp; Business Formation Specialists.”</w:t>
            </w:r>
          </w:p>
        </w:tc>
      </w:tr>
      <w:tr>
        <w:tc>
          <w:tcPr>
            <w:tcW w:type="dxa" w:w="9360"/>
            <w:tcBorders>
              <w:top w:val="none" w:color="FFFFFF" w:sz="0"/>
              <w:left w:val="none" w:color="FFFFFF" w:sz="0"/>
              <w:bottom w:val="none" w:color="FFFFFF" w:sz="0"/>
              <w:right w:val="none" w:color="FFFFFF" w:sz="0"/>
            </w:tcBorders>
            <w:shd w:fill="EBF2FF" w:val="clear"/>
            <w:tcMar>
              <w:top w:type="dxa" w:w="100"/>
              <w:left w:type="dxa" w:w="200"/>
              <w:bottom w:type="dxa" w:w="100"/>
              <w:right w:type="dxa" w:w="200"/>
            </w:tcMar>
          </w:tcPr>
          <w:p>
            <w:pPr>
              <w:spacing w:after="0" w:before="0" w:line="280"/>
            </w:pPr>
            <w:r>
              <w:rPr>
                <w:rFonts w:ascii="Arial" w:cs="Arial" w:eastAsia="Arial" w:hAnsi="Arial"/>
                <w:b/>
                <w:bCs/>
                <w:color w:val="2563EB"/>
                <w:sz w:val="19"/>
                <w:szCs w:val="19"/>
              </w:rPr>
              <w:t xml:space="preserve">Strategic Rationale: </w:t>
            </w:r>
            <w:r>
              <w:rPr>
                <w:rFonts w:ascii="Arial" w:cs="Arial" w:eastAsia="Arial" w:hAnsi="Arial"/>
                <w:color w:val="1E3A5F"/>
                <w:sz w:val="19"/>
                <w:szCs w:val="19"/>
              </w:rPr>
              <w:t xml:space="preserve">The entire competitive strategy depends on this shift. Every competitor’s homepage leads with geography or entity type. Leading with intent occupies the white-space position and immediately signals a different kind of company.</w:t>
            </w:r>
          </w:p>
        </w:tc>
      </w:tr>
      <w:tr>
        <w:tc>
          <w:tcPr>
            <w:tcW w:type="dxa" w:w="9360"/>
            <w:tcBorders>
              <w:top w:val="single" w:color="D1D5DB" w:sz="1"/>
              <w:left w:val="none" w:color="FFFFFF" w:sz="0"/>
              <w:bottom w:val="single" w:color="2563EB" w:sz="6"/>
              <w:right w:val="none" w:color="FFFFFF" w:sz="0"/>
            </w:tcBorders>
            <w:tcMar>
              <w:top w:type="dxa" w:w="120"/>
              <w:left w:type="dxa" w:w="200"/>
              <w:bottom w:type="dxa" w:w="14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single" w:color="D1D5DB" w:sz="1"/>
                  </w:tcBorders>
                  <w:tcMar>
                    <w:top w:type="dxa" w:w="0"/>
                    <w:left w:type="dxa" w:w="0"/>
                    <w:bottom w:type="dxa" w:w="0"/>
                    <w:right w:type="dxa" w:w="160"/>
                  </w:tcMar>
                </w:tcPr>
                <w:p>
                  <w:pPr>
                    <w:spacing w:after="60"/>
                  </w:pPr>
                  <w:r>
                    <w:rPr>
                      <w:rFonts w:ascii="Arial" w:cs="Arial" w:eastAsia="Arial" w:hAnsi="Arial"/>
                      <w:b/>
                      <w:bCs/>
                      <w:caps/>
                      <w:color w:val="16A34A"/>
                      <w:sz w:val="17"/>
                      <w:szCs w:val="17"/>
                    </w:rPr>
                    <w:t xml:space="preserve">DO</w:t>
                  </w:r>
                </w:p>
                <w:p>
                  <w:pPr>
                    <w:spacing w:after="40" w:before="40" w:line="260"/>
                  </w:pPr>
                  <w:r>
                    <w:rPr>
                      <w:rFonts w:ascii="Arial" w:cs="Arial" w:eastAsia="Arial" w:hAnsi="Arial"/>
                      <w:color w:val="1F2937"/>
                      <w:sz w:val="19"/>
                      <w:szCs w:val="19"/>
                    </w:rPr>
                    <w:t xml:space="preserve">✓  Lead hero messaging with privacy and protection outcomes</w:t>
                  </w:r>
                </w:p>
                <w:p>
                  <w:pPr>
                    <w:spacing w:after="40" w:before="40" w:line="260"/>
                  </w:pPr>
                  <w:r>
                    <w:rPr>
                      <w:rFonts w:ascii="Arial" w:cs="Arial" w:eastAsia="Arial" w:hAnsi="Arial"/>
                      <w:color w:val="1F2937"/>
                      <w:sz w:val="19"/>
                      <w:szCs w:val="19"/>
                    </w:rPr>
                    <w:t xml:space="preserve">✓  Structure pillar navigation around goals: Privacy, Asset Protection, Formation</w:t>
                  </w:r>
                </w:p>
                <w:p>
                  <w:pPr>
                    <w:spacing w:after="40" w:before="40" w:line="260"/>
                  </w:pPr>
                  <w:r>
                    <w:rPr>
                      <w:rFonts w:ascii="Arial" w:cs="Arial" w:eastAsia="Arial" w:hAnsi="Arial"/>
                      <w:color w:val="1F2937"/>
                      <w:sz w:val="19"/>
                      <w:szCs w:val="19"/>
                    </w:rPr>
                    <w:t xml:space="preserve">✓  Let state selection happen within pillar content, not as the primary entry point</w:t>
                  </w:r>
                </w:p>
              </w:tc>
              <w:tc>
                <w:tcPr>
                  <w:tcW w:type="dxa" w:w="44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aps/>
                      <w:color w:val="DC2626"/>
                      <w:sz w:val="17"/>
                      <w:szCs w:val="17"/>
                    </w:rPr>
                    <w:t xml:space="preserve">DON’T</w:t>
                  </w:r>
                </w:p>
                <w:p>
                  <w:pPr>
                    <w:spacing w:after="40" w:before="40" w:line="260"/>
                  </w:pPr>
                  <w:r>
                    <w:rPr>
                      <w:rFonts w:ascii="Arial" w:cs="Arial" w:eastAsia="Arial" w:hAnsi="Arial"/>
                      <w:color w:val="1F2937"/>
                      <w:sz w:val="19"/>
                      <w:szCs w:val="19"/>
                    </w:rPr>
                    <w:t xml:space="preserve">✗  Open with “Nevada LLC” or “Wyoming Corporation” as the lead message</w:t>
                  </w:r>
                </w:p>
                <w:p>
                  <w:pPr>
                    <w:spacing w:after="40" w:before="40" w:line="260"/>
                  </w:pPr>
                  <w:r>
                    <w:rPr>
                      <w:rFonts w:ascii="Arial" w:cs="Arial" w:eastAsia="Arial" w:hAnsi="Arial"/>
                      <w:color w:val="1F2937"/>
                      <w:sz w:val="19"/>
                      <w:szCs w:val="19"/>
                    </w:rPr>
                    <w:t xml:space="preserve">✗  Use geography-first navigation (United States &gt; Nevada &gt; Services)</w:t>
                  </w:r>
                </w:p>
                <w:p>
                  <w:pPr>
                    <w:spacing w:after="40" w:before="40" w:line="260"/>
                  </w:pPr>
                  <w:r>
                    <w:rPr>
                      <w:rFonts w:ascii="Arial" w:cs="Arial" w:eastAsia="Arial" w:hAnsi="Arial"/>
                      <w:color w:val="1F2937"/>
                      <w:sz w:val="19"/>
                      <w:szCs w:val="19"/>
                    </w:rPr>
                    <w:t xml:space="preserve">✗  Default to entity-type language before establishing the visitor’s goal</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0F4F8" w:val="clear"/>
            <w:tcMar>
              <w:top w:type="dxa" w:w="140"/>
              <w:left w:type="dxa" w:w="200"/>
              <w:bottom w:type="dxa" w:w="100"/>
              <w:right w:type="dxa" w:w="200"/>
            </w:tcMar>
          </w:tcPr>
          <w:p>
            <w:pPr>
              <w:spacing w:after="60"/>
            </w:pPr>
            <w:r>
              <w:rPr>
                <w:rFonts w:ascii="Arial" w:cs="Arial" w:eastAsia="Arial" w:hAnsi="Arial"/>
                <w:b/>
                <w:bCs/>
                <w:caps/>
                <w:color w:val="2563EB"/>
                <w:sz w:val="16"/>
                <w:szCs w:val="16"/>
              </w:rPr>
              <w:t xml:space="preserve">PRINCIPLE 2</w:t>
            </w:r>
          </w:p>
          <w:p>
            <w:pPr>
              <w:spacing w:after="0"/>
            </w:pPr>
            <w:r>
              <w:rPr>
                <w:rFonts w:ascii="Arial" w:cs="Arial" w:eastAsia="Arial" w:hAnsi="Arial"/>
                <w:b/>
                <w:bCs/>
                <w:color w:val="1E3A5F"/>
                <w:sz w:val="24"/>
                <w:szCs w:val="24"/>
              </w:rPr>
              <w:t xml:space="preserve">80/20 Progressive Disclosure</w:t>
            </w:r>
          </w:p>
        </w:tc>
      </w:tr>
      <w:tr>
        <w:tc>
          <w:tcPr>
            <w:tcW w:type="dxa" w:w="9360"/>
            <w:tcBorders>
              <w:top w:val="none" w:color="FFFFFF" w:sz="0"/>
              <w:left w:val="none" w:color="FFFFFF" w:sz="0"/>
              <w:bottom w:val="none" w:color="FFFFFF" w:sz="0"/>
              <w:right w:val="none" w:color="FFFFFF" w:sz="0"/>
            </w:tcBorders>
            <w:tcMar>
              <w:top w:type="dxa" w:w="120"/>
              <w:left w:type="dxa" w:w="200"/>
              <w:bottom w:type="dxa" w:w="120"/>
              <w:right w:type="dxa" w:w="200"/>
            </w:tcMar>
          </w:tcPr>
          <w:p>
            <w:pPr>
              <w:spacing w:after="0" w:before="0" w:line="300"/>
            </w:pPr>
            <w:r>
              <w:rPr>
                <w:rFonts w:ascii="Arial" w:cs="Arial" w:eastAsia="Arial" w:hAnsi="Arial"/>
                <w:color w:val="1F2937"/>
                <w:sz w:val="21"/>
                <w:szCs w:val="21"/>
              </w:rPr>
              <w:t xml:space="preserve">80% of visitors scan and decide fast—they need the value proposition, clear routing, and a CTA above the fold. 20% want depth and will scroll. The homepage serves both by front-loading the scannable layer and stacking detail below. Nothing above the fold should require reading a paragraph to understand.</w:t>
            </w:r>
          </w:p>
        </w:tc>
      </w:tr>
      <w:tr>
        <w:tc>
          <w:tcPr>
            <w:tcW w:type="dxa" w:w="9360"/>
            <w:tcBorders>
              <w:top w:val="none" w:color="FFFFFF" w:sz="0"/>
              <w:left w:val="none" w:color="FFFFFF" w:sz="0"/>
              <w:bottom w:val="none" w:color="FFFFFF" w:sz="0"/>
              <w:right w:val="none" w:color="FFFFFF" w:sz="0"/>
            </w:tcBorders>
            <w:shd w:fill="EBF2FF" w:val="clear"/>
            <w:tcMar>
              <w:top w:type="dxa" w:w="100"/>
              <w:left w:type="dxa" w:w="200"/>
              <w:bottom w:type="dxa" w:w="100"/>
              <w:right w:type="dxa" w:w="200"/>
            </w:tcMar>
          </w:tcPr>
          <w:p>
            <w:pPr>
              <w:spacing w:after="0" w:before="0" w:line="280"/>
            </w:pPr>
            <w:r>
              <w:rPr>
                <w:rFonts w:ascii="Arial" w:cs="Arial" w:eastAsia="Arial" w:hAnsi="Arial"/>
                <w:b/>
                <w:bCs/>
                <w:color w:val="2563EB"/>
                <w:sz w:val="19"/>
                <w:szCs w:val="19"/>
              </w:rPr>
              <w:t xml:space="preserve">Strategic Rationale: </w:t>
            </w:r>
            <w:r>
              <w:rPr>
                <w:rFonts w:ascii="Arial" w:cs="Arial" w:eastAsia="Arial" w:hAnsi="Arial"/>
                <w:color w:val="1E3A5F"/>
                <w:sz w:val="19"/>
                <w:szCs w:val="19"/>
              </w:rPr>
              <w:t xml:space="preserve">David confirmed the site is “super content rich and most people won’t read it,” but emphasized that details matter for trust. Progressive disclosure resolves this tension—concise by default, expandable for researchers.</w:t>
            </w:r>
          </w:p>
        </w:tc>
      </w:tr>
      <w:tr>
        <w:tc>
          <w:tcPr>
            <w:tcW w:type="dxa" w:w="9360"/>
            <w:tcBorders>
              <w:top w:val="single" w:color="D1D5DB" w:sz="1"/>
              <w:left w:val="none" w:color="FFFFFF" w:sz="0"/>
              <w:bottom w:val="single" w:color="2563EB" w:sz="6"/>
              <w:right w:val="none" w:color="FFFFFF" w:sz="0"/>
            </w:tcBorders>
            <w:tcMar>
              <w:top w:type="dxa" w:w="120"/>
              <w:left w:type="dxa" w:w="200"/>
              <w:bottom w:type="dxa" w:w="14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single" w:color="D1D5DB" w:sz="1"/>
                  </w:tcBorders>
                  <w:tcMar>
                    <w:top w:type="dxa" w:w="0"/>
                    <w:left w:type="dxa" w:w="0"/>
                    <w:bottom w:type="dxa" w:w="0"/>
                    <w:right w:type="dxa" w:w="160"/>
                  </w:tcMar>
                </w:tcPr>
                <w:p>
                  <w:pPr>
                    <w:spacing w:after="60"/>
                  </w:pPr>
                  <w:r>
                    <w:rPr>
                      <w:rFonts w:ascii="Arial" w:cs="Arial" w:eastAsia="Arial" w:hAnsi="Arial"/>
                      <w:b/>
                      <w:bCs/>
                      <w:caps/>
                      <w:color w:val="16A34A"/>
                      <w:sz w:val="17"/>
                      <w:szCs w:val="17"/>
                    </w:rPr>
                    <w:t xml:space="preserve">DO</w:t>
                  </w:r>
                </w:p>
                <w:p>
                  <w:pPr>
                    <w:spacing w:after="40" w:before="40" w:line="260"/>
                  </w:pPr>
                  <w:r>
                    <w:rPr>
                      <w:rFonts w:ascii="Arial" w:cs="Arial" w:eastAsia="Arial" w:hAnsi="Arial"/>
                      <w:color w:val="1F2937"/>
                      <w:sz w:val="19"/>
                      <w:szCs w:val="19"/>
                    </w:rPr>
                    <w:t xml:space="preserve">✓  Keep hero content to headline + subhead + CTA—no paragraphs</w:t>
                  </w:r>
                </w:p>
                <w:p>
                  <w:pPr>
                    <w:spacing w:after="40" w:before="40" w:line="260"/>
                  </w:pPr>
                  <w:r>
                    <w:rPr>
                      <w:rFonts w:ascii="Arial" w:cs="Arial" w:eastAsia="Arial" w:hAnsi="Arial"/>
                      <w:color w:val="1F2937"/>
                      <w:sz w:val="19"/>
                      <w:szCs w:val="19"/>
                    </w:rPr>
                    <w:t xml:space="preserve">✓  Make deeper content accessible via scroll, expand, or click-through</w:t>
                  </w:r>
                </w:p>
                <w:p>
                  <w:pPr>
                    <w:spacing w:after="40" w:before="40" w:line="260"/>
                  </w:pPr>
                  <w:r>
                    <w:rPr>
                      <w:rFonts w:ascii="Arial" w:cs="Arial" w:eastAsia="Arial" w:hAnsi="Arial"/>
                      <w:color w:val="1F2937"/>
                      <w:sz w:val="19"/>
                      <w:szCs w:val="19"/>
                    </w:rPr>
                    <w:t xml:space="preserve">✓  Use visual hierarchy (size, weight, color) to separate scan layer from detail layer</w:t>
                  </w:r>
                </w:p>
              </w:tc>
              <w:tc>
                <w:tcPr>
                  <w:tcW w:type="dxa" w:w="44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aps/>
                      <w:color w:val="DC2626"/>
                      <w:sz w:val="17"/>
                      <w:szCs w:val="17"/>
                    </w:rPr>
                    <w:t xml:space="preserve">DON’T</w:t>
                  </w:r>
                </w:p>
                <w:p>
                  <w:pPr>
                    <w:spacing w:after="40" w:before="40" w:line="260"/>
                  </w:pPr>
                  <w:r>
                    <w:rPr>
                      <w:rFonts w:ascii="Arial" w:cs="Arial" w:eastAsia="Arial" w:hAnsi="Arial"/>
                      <w:color w:val="1F2937"/>
                      <w:sz w:val="19"/>
                      <w:szCs w:val="19"/>
                    </w:rPr>
                    <w:t xml:space="preserve">✗  Force visitors to read dense text before seeing a CTA</w:t>
                  </w:r>
                </w:p>
                <w:p>
                  <w:pPr>
                    <w:spacing w:after="40" w:before="40" w:line="260"/>
                  </w:pPr>
                  <w:r>
                    <w:rPr>
                      <w:rFonts w:ascii="Arial" w:cs="Arial" w:eastAsia="Arial" w:hAnsi="Arial"/>
                      <w:color w:val="1F2937"/>
                      <w:sz w:val="19"/>
                      <w:szCs w:val="19"/>
                    </w:rPr>
                    <w:t xml:space="preserve">✗  Hide critical information behind interactions that scanners will miss</w:t>
                  </w:r>
                </w:p>
                <w:p>
                  <w:pPr>
                    <w:spacing w:after="40" w:before="40" w:line="260"/>
                  </w:pPr>
                  <w:r>
                    <w:rPr>
                      <w:rFonts w:ascii="Arial" w:cs="Arial" w:eastAsia="Arial" w:hAnsi="Arial"/>
                      <w:color w:val="1F2937"/>
                      <w:sz w:val="19"/>
                      <w:szCs w:val="19"/>
                    </w:rPr>
                    <w:t xml:space="preserve">✗  Treat the homepage like a pillar page with full educational content</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0F4F8" w:val="clear"/>
            <w:tcMar>
              <w:top w:type="dxa" w:w="140"/>
              <w:left w:type="dxa" w:w="200"/>
              <w:bottom w:type="dxa" w:w="100"/>
              <w:right w:type="dxa" w:w="200"/>
            </w:tcMar>
          </w:tcPr>
          <w:p>
            <w:pPr>
              <w:spacing w:after="60"/>
            </w:pPr>
            <w:r>
              <w:rPr>
                <w:rFonts w:ascii="Arial" w:cs="Arial" w:eastAsia="Arial" w:hAnsi="Arial"/>
                <w:b/>
                <w:bCs/>
                <w:caps/>
                <w:color w:val="2563EB"/>
                <w:sz w:val="16"/>
                <w:szCs w:val="16"/>
              </w:rPr>
              <w:t xml:space="preserve">PRINCIPLE 3</w:t>
            </w:r>
          </w:p>
          <w:p>
            <w:pPr>
              <w:spacing w:after="0"/>
            </w:pPr>
            <w:r>
              <w:rPr>
                <w:rFonts w:ascii="Arial" w:cs="Arial" w:eastAsia="Arial" w:hAnsi="Arial"/>
                <w:b/>
                <w:bCs/>
                <w:color w:val="1E3A5F"/>
                <w:sz w:val="24"/>
                <w:szCs w:val="24"/>
              </w:rPr>
              <w:t xml:space="preserve">Stage-Skipping Is Mandatory</w:t>
            </w:r>
          </w:p>
        </w:tc>
      </w:tr>
      <w:tr>
        <w:tc>
          <w:tcPr>
            <w:tcW w:type="dxa" w:w="9360"/>
            <w:tcBorders>
              <w:top w:val="none" w:color="FFFFFF" w:sz="0"/>
              <w:left w:val="none" w:color="FFFFFF" w:sz="0"/>
              <w:bottom w:val="none" w:color="FFFFFF" w:sz="0"/>
              <w:right w:val="none" w:color="FFFFFF" w:sz="0"/>
            </w:tcBorders>
            <w:tcMar>
              <w:top w:type="dxa" w:w="120"/>
              <w:left w:type="dxa" w:w="200"/>
              <w:bottom w:type="dxa" w:w="120"/>
              <w:right w:type="dxa" w:w="200"/>
            </w:tcMar>
          </w:tcPr>
          <w:p>
            <w:pPr>
              <w:spacing w:after="0" w:before="0" w:line="300"/>
            </w:pPr>
            <w:r>
              <w:rPr>
                <w:rFonts w:ascii="Arial" w:cs="Arial" w:eastAsia="Arial" w:hAnsi="Arial"/>
                <w:color w:val="1F2937"/>
                <w:sz w:val="21"/>
                <w:szCs w:val="21"/>
              </w:rPr>
              <w:t xml:space="preserve">Not every visitor arrives at the top of the funnel. The Informed Buyer persona lands already knowing what they want—their path is 1–2 pages to checkout. The homepage must offer both “learn more” paths downward into pillar content AND direct “ready to buy” shortcuts to packages. Forcing everyone through education kills conversions for this segment.</w:t>
            </w:r>
          </w:p>
        </w:tc>
      </w:tr>
      <w:tr>
        <w:tc>
          <w:tcPr>
            <w:tcW w:type="dxa" w:w="9360"/>
            <w:tcBorders>
              <w:top w:val="none" w:color="FFFFFF" w:sz="0"/>
              <w:left w:val="none" w:color="FFFFFF" w:sz="0"/>
              <w:bottom w:val="none" w:color="FFFFFF" w:sz="0"/>
              <w:right w:val="none" w:color="FFFFFF" w:sz="0"/>
            </w:tcBorders>
            <w:shd w:fill="EBF2FF" w:val="clear"/>
            <w:tcMar>
              <w:top w:type="dxa" w:w="100"/>
              <w:left w:type="dxa" w:w="200"/>
              <w:bottom w:type="dxa" w:w="100"/>
              <w:right w:type="dxa" w:w="200"/>
            </w:tcMar>
          </w:tcPr>
          <w:p>
            <w:pPr>
              <w:spacing w:after="0" w:before="0" w:line="280"/>
            </w:pPr>
            <w:r>
              <w:rPr>
                <w:rFonts w:ascii="Arial" w:cs="Arial" w:eastAsia="Arial" w:hAnsi="Arial"/>
                <w:b/>
                <w:bCs/>
                <w:color w:val="2563EB"/>
                <w:sz w:val="19"/>
                <w:szCs w:val="19"/>
              </w:rPr>
              <w:t xml:space="preserve">Strategic Rationale: </w:t>
            </w:r>
            <w:r>
              <w:rPr>
                <w:rFonts w:ascii="Arial" w:cs="Arial" w:eastAsia="Arial" w:hAnsi="Arial"/>
                <w:color w:val="1E3A5F"/>
                <w:sz w:val="19"/>
                <w:szCs w:val="19"/>
              </w:rPr>
              <w:t xml:space="preserve">User journey mapping identified five distinct personas with different path lengths (1–7 pages). The homepage is the only page that serves all five simultaneously. Blocking any segment’s natural path creates measurable conversion loss.</w:t>
            </w:r>
          </w:p>
        </w:tc>
      </w:tr>
      <w:tr>
        <w:tc>
          <w:tcPr>
            <w:tcW w:type="dxa" w:w="9360"/>
            <w:tcBorders>
              <w:top w:val="single" w:color="D1D5DB" w:sz="1"/>
              <w:left w:val="none" w:color="FFFFFF" w:sz="0"/>
              <w:bottom w:val="single" w:color="2563EB" w:sz="6"/>
              <w:right w:val="none" w:color="FFFFFF" w:sz="0"/>
            </w:tcBorders>
            <w:tcMar>
              <w:top w:type="dxa" w:w="120"/>
              <w:left w:type="dxa" w:w="200"/>
              <w:bottom w:type="dxa" w:w="14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single" w:color="D1D5DB" w:sz="1"/>
                  </w:tcBorders>
                  <w:tcMar>
                    <w:top w:type="dxa" w:w="0"/>
                    <w:left w:type="dxa" w:w="0"/>
                    <w:bottom w:type="dxa" w:w="0"/>
                    <w:right w:type="dxa" w:w="160"/>
                  </w:tcMar>
                </w:tcPr>
                <w:p>
                  <w:pPr>
                    <w:spacing w:after="60"/>
                  </w:pPr>
                  <w:r>
                    <w:rPr>
                      <w:rFonts w:ascii="Arial" w:cs="Arial" w:eastAsia="Arial" w:hAnsi="Arial"/>
                      <w:b/>
                      <w:bCs/>
                      <w:caps/>
                      <w:color w:val="16A34A"/>
                      <w:sz w:val="17"/>
                      <w:szCs w:val="17"/>
                    </w:rPr>
                    <w:t xml:space="preserve">DO</w:t>
                  </w:r>
                </w:p>
                <w:p>
                  <w:pPr>
                    <w:spacing w:after="40" w:before="40" w:line="260"/>
                  </w:pPr>
                  <w:r>
                    <w:rPr>
                      <w:rFonts w:ascii="Arial" w:cs="Arial" w:eastAsia="Arial" w:hAnsi="Arial"/>
                      <w:color w:val="1F2937"/>
                      <w:sz w:val="19"/>
                      <w:szCs w:val="19"/>
                    </w:rPr>
                    <w:t xml:space="preserve">✓  Provide pillar navigation cards for researchers alongside direct package links for buyers</w:t>
                  </w:r>
                </w:p>
                <w:p>
                  <w:pPr>
                    <w:spacing w:after="40" w:before="40" w:line="260"/>
                  </w:pPr>
                  <w:r>
                    <w:rPr>
                      <w:rFonts w:ascii="Arial" w:cs="Arial" w:eastAsia="Arial" w:hAnsi="Arial"/>
                      <w:color w:val="1F2937"/>
                      <w:sz w:val="19"/>
                      <w:szCs w:val="19"/>
                    </w:rPr>
                    <w:t xml:space="preserve">✓  Include a visible “View Packages” or pricing shortcut above the fold</w:t>
                  </w:r>
                </w:p>
                <w:p>
                  <w:pPr>
                    <w:spacing w:after="40" w:before="40" w:line="260"/>
                  </w:pPr>
                  <w:r>
                    <w:rPr>
                      <w:rFonts w:ascii="Arial" w:cs="Arial" w:eastAsia="Arial" w:hAnsi="Arial"/>
                      <w:color w:val="1F2937"/>
                      <w:sz w:val="19"/>
                      <w:szCs w:val="19"/>
                    </w:rPr>
                    <w:t xml:space="preserve">✓  Let returning clients access Login without navigating through marketing content</w:t>
                  </w:r>
                </w:p>
              </w:tc>
              <w:tc>
                <w:tcPr>
                  <w:tcW w:type="dxa" w:w="44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aps/>
                      <w:color w:val="DC2626"/>
                      <w:sz w:val="17"/>
                      <w:szCs w:val="17"/>
                    </w:rPr>
                    <w:t xml:space="preserve">DON’T</w:t>
                  </w:r>
                </w:p>
                <w:p>
                  <w:pPr>
                    <w:spacing w:after="40" w:before="40" w:line="260"/>
                  </w:pPr>
                  <w:r>
                    <w:rPr>
                      <w:rFonts w:ascii="Arial" w:cs="Arial" w:eastAsia="Arial" w:hAnsi="Arial"/>
                      <w:color w:val="1F2937"/>
                      <w:sz w:val="19"/>
                      <w:szCs w:val="19"/>
                    </w:rPr>
                    <w:t xml:space="preserve">✗  Build a single linear funnel that every visitor must follow</w:t>
                  </w:r>
                </w:p>
                <w:p>
                  <w:pPr>
                    <w:spacing w:after="40" w:before="40" w:line="260"/>
                  </w:pPr>
                  <w:r>
                    <w:rPr>
                      <w:rFonts w:ascii="Arial" w:cs="Arial" w:eastAsia="Arial" w:hAnsi="Arial"/>
                      <w:color w:val="1F2937"/>
                      <w:sz w:val="19"/>
                      <w:szCs w:val="19"/>
                    </w:rPr>
                    <w:t xml:space="preserve">✗  Bury package pricing below three scrolls of educational content</w:t>
                  </w:r>
                </w:p>
                <w:p>
                  <w:pPr>
                    <w:spacing w:after="40" w:before="40" w:line="260"/>
                  </w:pPr>
                  <w:r>
                    <w:rPr>
                      <w:rFonts w:ascii="Arial" w:cs="Arial" w:eastAsia="Arial" w:hAnsi="Arial"/>
                      <w:color w:val="1F2937"/>
                      <w:sz w:val="19"/>
                      <w:szCs w:val="19"/>
                    </w:rPr>
                    <w:t xml:space="preserve">✗  Assume all homepage visitors need education before conversion</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0F4F8" w:val="clear"/>
            <w:tcMar>
              <w:top w:type="dxa" w:w="140"/>
              <w:left w:type="dxa" w:w="200"/>
              <w:bottom w:type="dxa" w:w="100"/>
              <w:right w:type="dxa" w:w="200"/>
            </w:tcMar>
          </w:tcPr>
          <w:p>
            <w:pPr>
              <w:spacing w:after="60"/>
            </w:pPr>
            <w:r>
              <w:rPr>
                <w:rFonts w:ascii="Arial" w:cs="Arial" w:eastAsia="Arial" w:hAnsi="Arial"/>
                <w:b/>
                <w:bCs/>
                <w:caps/>
                <w:color w:val="2563EB"/>
                <w:sz w:val="16"/>
                <w:szCs w:val="16"/>
              </w:rPr>
              <w:t xml:space="preserve">PRINCIPLE 4</w:t>
            </w:r>
          </w:p>
          <w:p>
            <w:pPr>
              <w:spacing w:after="0"/>
            </w:pPr>
            <w:r>
              <w:rPr>
                <w:rFonts w:ascii="Arial" w:cs="Arial" w:eastAsia="Arial" w:hAnsi="Arial"/>
                <w:b/>
                <w:bCs/>
                <w:color w:val="1E3A5F"/>
                <w:sz w:val="24"/>
                <w:szCs w:val="24"/>
              </w:rPr>
              <w:t xml:space="preserve">One Primary + One Secondary CTA Per Section</w:t>
            </w:r>
          </w:p>
        </w:tc>
      </w:tr>
      <w:tr>
        <w:tc>
          <w:tcPr>
            <w:tcW w:type="dxa" w:w="9360"/>
            <w:tcBorders>
              <w:top w:val="none" w:color="FFFFFF" w:sz="0"/>
              <w:left w:val="none" w:color="FFFFFF" w:sz="0"/>
              <w:bottom w:val="none" w:color="FFFFFF" w:sz="0"/>
              <w:right w:val="none" w:color="FFFFFF" w:sz="0"/>
            </w:tcBorders>
            <w:tcMar>
              <w:top w:type="dxa" w:w="120"/>
              <w:left w:type="dxa" w:w="200"/>
              <w:bottom w:type="dxa" w:w="120"/>
              <w:right w:type="dxa" w:w="200"/>
            </w:tcMar>
          </w:tcPr>
          <w:p>
            <w:pPr>
              <w:spacing w:after="0" w:before="0" w:line="300"/>
            </w:pPr>
            <w:r>
              <w:rPr>
                <w:rFonts w:ascii="Arial" w:cs="Arial" w:eastAsia="Arial" w:hAnsi="Arial"/>
                <w:color w:val="1F2937"/>
                <w:sz w:val="21"/>
                <w:szCs w:val="21"/>
              </w:rPr>
              <w:t xml:space="preserve">Every homepage section gets exactly one primary CTA (amber, action verb + outcome) and one secondary CTA (outline/ghost, alternative path). The consultation safety net (“Talk to us instead”) appears as a subtle link near every self-service CTA—not as a competing button. Three competing button styles in the same section create decision paralysis and dilute conversion.</w:t>
            </w:r>
          </w:p>
        </w:tc>
      </w:tr>
      <w:tr>
        <w:tc>
          <w:tcPr>
            <w:tcW w:type="dxa" w:w="9360"/>
            <w:tcBorders>
              <w:top w:val="none" w:color="FFFFFF" w:sz="0"/>
              <w:left w:val="none" w:color="FFFFFF" w:sz="0"/>
              <w:bottom w:val="none" w:color="FFFFFF" w:sz="0"/>
              <w:right w:val="none" w:color="FFFFFF" w:sz="0"/>
            </w:tcBorders>
            <w:shd w:fill="EBF2FF" w:val="clear"/>
            <w:tcMar>
              <w:top w:type="dxa" w:w="100"/>
              <w:left w:type="dxa" w:w="200"/>
              <w:bottom w:type="dxa" w:w="100"/>
              <w:right w:type="dxa" w:w="200"/>
            </w:tcMar>
          </w:tcPr>
          <w:p>
            <w:pPr>
              <w:spacing w:after="0" w:before="0" w:line="280"/>
            </w:pPr>
            <w:r>
              <w:rPr>
                <w:rFonts w:ascii="Arial" w:cs="Arial" w:eastAsia="Arial" w:hAnsi="Arial"/>
                <w:b/>
                <w:bCs/>
                <w:color w:val="2563EB"/>
                <w:sz w:val="19"/>
                <w:szCs w:val="19"/>
              </w:rPr>
              <w:t xml:space="preserve">Strategic Rationale: </w:t>
            </w:r>
            <w:r>
              <w:rPr>
                <w:rFonts w:ascii="Arial" w:cs="Arial" w:eastAsia="Arial" w:hAnsi="Arial"/>
                <w:color w:val="1E3A5F"/>
                <w:sz w:val="19"/>
                <w:szCs w:val="19"/>
              </w:rPr>
              <w:t xml:space="preserve">The brand guide explicitly prohibits three competing primary-style buttons. Research on conversion optimization consistently shows that reducing choices increases action rates. The dual-CTA pattern serves both self-service and consultation-preference segments without conflict.</w:t>
            </w:r>
          </w:p>
        </w:tc>
      </w:tr>
      <w:tr>
        <w:tc>
          <w:tcPr>
            <w:tcW w:type="dxa" w:w="9360"/>
            <w:tcBorders>
              <w:top w:val="single" w:color="D1D5DB" w:sz="1"/>
              <w:left w:val="none" w:color="FFFFFF" w:sz="0"/>
              <w:bottom w:val="single" w:color="2563EB" w:sz="6"/>
              <w:right w:val="none" w:color="FFFFFF" w:sz="0"/>
            </w:tcBorders>
            <w:tcMar>
              <w:top w:type="dxa" w:w="120"/>
              <w:left w:type="dxa" w:w="200"/>
              <w:bottom w:type="dxa" w:w="14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single" w:color="D1D5DB" w:sz="1"/>
                  </w:tcBorders>
                  <w:tcMar>
                    <w:top w:type="dxa" w:w="0"/>
                    <w:left w:type="dxa" w:w="0"/>
                    <w:bottom w:type="dxa" w:w="0"/>
                    <w:right w:type="dxa" w:w="160"/>
                  </w:tcMar>
                </w:tcPr>
                <w:p>
                  <w:pPr>
                    <w:spacing w:after="60"/>
                  </w:pPr>
                  <w:r>
                    <w:rPr>
                      <w:rFonts w:ascii="Arial" w:cs="Arial" w:eastAsia="Arial" w:hAnsi="Arial"/>
                      <w:b/>
                      <w:bCs/>
                      <w:caps/>
                      <w:color w:val="16A34A"/>
                      <w:sz w:val="17"/>
                      <w:szCs w:val="17"/>
                    </w:rPr>
                    <w:t xml:space="preserve">DO</w:t>
                  </w:r>
                </w:p>
                <w:p>
                  <w:pPr>
                    <w:spacing w:after="40" w:before="40" w:line="260"/>
                  </w:pPr>
                  <w:r>
                    <w:rPr>
                      <w:rFonts w:ascii="Arial" w:cs="Arial" w:eastAsia="Arial" w:hAnsi="Arial"/>
                      <w:color w:val="1F2937"/>
                      <w:sz w:val="19"/>
                      <w:szCs w:val="19"/>
                    </w:rPr>
                    <w:t xml:space="preserve">✓  Use amber for the single primary action per section</w:t>
                  </w:r>
                </w:p>
                <w:p>
                  <w:pPr>
                    <w:spacing w:after="40" w:before="40" w:line="260"/>
                  </w:pPr>
                  <w:r>
                    <w:rPr>
                      <w:rFonts w:ascii="Arial" w:cs="Arial" w:eastAsia="Arial" w:hAnsi="Arial"/>
                      <w:color w:val="1F2937"/>
                      <w:sz w:val="19"/>
                      <w:szCs w:val="19"/>
                    </w:rPr>
                    <w:t xml:space="preserve">✓  Use outline/ghost style for the secondary alternative</w:t>
                  </w:r>
                </w:p>
                <w:p>
                  <w:pPr>
                    <w:spacing w:after="40" w:before="40" w:line="260"/>
                  </w:pPr>
                  <w:r>
                    <w:rPr>
                      <w:rFonts w:ascii="Arial" w:cs="Arial" w:eastAsia="Arial" w:hAnsi="Arial"/>
                      <w:color w:val="1F2937"/>
                      <w:sz w:val="19"/>
                      <w:szCs w:val="19"/>
                    </w:rPr>
                    <w:t xml:space="preserve">✓  Place “Talk to us instead” as a text link, not a third button</w:t>
                  </w:r>
                </w:p>
              </w:tc>
              <w:tc>
                <w:tcPr>
                  <w:tcW w:type="dxa" w:w="44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aps/>
                      <w:color w:val="DC2626"/>
                      <w:sz w:val="17"/>
                      <w:szCs w:val="17"/>
                    </w:rPr>
                    <w:t xml:space="preserve">DON’T</w:t>
                  </w:r>
                </w:p>
                <w:p>
                  <w:pPr>
                    <w:spacing w:after="40" w:before="40" w:line="260"/>
                  </w:pPr>
                  <w:r>
                    <w:rPr>
                      <w:rFonts w:ascii="Arial" w:cs="Arial" w:eastAsia="Arial" w:hAnsi="Arial"/>
                      <w:color w:val="1F2937"/>
                      <w:sz w:val="19"/>
                      <w:szCs w:val="19"/>
                    </w:rPr>
                    <w:t xml:space="preserve">✗  Show three buttons in one section (e.g., amber + blue + green)</w:t>
                  </w:r>
                </w:p>
                <w:p>
                  <w:pPr>
                    <w:spacing w:after="40" w:before="40" w:line="260"/>
                  </w:pPr>
                  <w:r>
                    <w:rPr>
                      <w:rFonts w:ascii="Arial" w:cs="Arial" w:eastAsia="Arial" w:hAnsi="Arial"/>
                      <w:color w:val="1F2937"/>
                      <w:sz w:val="19"/>
                      <w:szCs w:val="19"/>
                    </w:rPr>
                    <w:t xml:space="preserve">✗  Give the consultation CTA equal visual weight to the primary action</w:t>
                  </w:r>
                </w:p>
                <w:p>
                  <w:pPr>
                    <w:spacing w:after="40" w:before="40" w:line="260"/>
                  </w:pPr>
                  <w:r>
                    <w:rPr>
                      <w:rFonts w:ascii="Arial" w:cs="Arial" w:eastAsia="Arial" w:hAnsi="Arial"/>
                      <w:color w:val="1F2937"/>
                      <w:sz w:val="19"/>
                      <w:szCs w:val="19"/>
                    </w:rPr>
                    <w:t xml:space="preserve">✗  Omit the consultation safety net from any conversion-adjacent section</w:t>
                  </w:r>
                </w:p>
              </w:tc>
            </w:tr>
          </w:tbl>
          <w:p/>
        </w:tc>
      </w:tr>
    </w:tbl>
    <w:p>
      <w:r>
        <w:br w:type="page"/>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0F4F8" w:val="clear"/>
            <w:tcMar>
              <w:top w:type="dxa" w:w="140"/>
              <w:left w:type="dxa" w:w="200"/>
              <w:bottom w:type="dxa" w:w="100"/>
              <w:right w:type="dxa" w:w="200"/>
            </w:tcMar>
          </w:tcPr>
          <w:p>
            <w:pPr>
              <w:spacing w:after="60"/>
            </w:pPr>
            <w:r>
              <w:rPr>
                <w:rFonts w:ascii="Arial" w:cs="Arial" w:eastAsia="Arial" w:hAnsi="Arial"/>
                <w:b/>
                <w:bCs/>
                <w:caps/>
                <w:color w:val="2563EB"/>
                <w:sz w:val="16"/>
                <w:szCs w:val="16"/>
              </w:rPr>
              <w:t xml:space="preserve">PRINCIPLE 5</w:t>
            </w:r>
          </w:p>
          <w:p>
            <w:pPr>
              <w:spacing w:after="0"/>
            </w:pPr>
            <w:r>
              <w:rPr>
                <w:rFonts w:ascii="Arial" w:cs="Arial" w:eastAsia="Arial" w:hAnsi="Arial"/>
                <w:b/>
                <w:bCs/>
                <w:color w:val="1E3A5F"/>
                <w:sz w:val="24"/>
                <w:szCs w:val="24"/>
              </w:rPr>
              <w:t xml:space="preserve">Above-Fold CTA Presence</w:t>
            </w:r>
          </w:p>
        </w:tc>
      </w:tr>
      <w:tr>
        <w:tc>
          <w:tcPr>
            <w:tcW w:type="dxa" w:w="9360"/>
            <w:tcBorders>
              <w:top w:val="none" w:color="FFFFFF" w:sz="0"/>
              <w:left w:val="none" w:color="FFFFFF" w:sz="0"/>
              <w:bottom w:val="none" w:color="FFFFFF" w:sz="0"/>
              <w:right w:val="none" w:color="FFFFFF" w:sz="0"/>
            </w:tcBorders>
            <w:tcMar>
              <w:top w:type="dxa" w:w="120"/>
              <w:left w:type="dxa" w:w="200"/>
              <w:bottom w:type="dxa" w:w="120"/>
              <w:right w:type="dxa" w:w="200"/>
            </w:tcMar>
          </w:tcPr>
          <w:p>
            <w:pPr>
              <w:spacing w:after="0" w:before="0" w:line="300"/>
            </w:pPr>
            <w:r>
              <w:rPr>
                <w:rFonts w:ascii="Arial" w:cs="Arial" w:eastAsia="Arial" w:hAnsi="Arial"/>
                <w:color w:val="1F2937"/>
                <w:sz w:val="21"/>
                <w:szCs w:val="21"/>
              </w:rPr>
              <w:t xml:space="preserve">At least one CTA must be visible without scrolling on both desktop and mobile. The post-content repeat rule then places the CTA again after the main content and again before the footer. On mobile, a sticky bottom CTA bar with the primary action + tap-to-call takes priority over in-content CTAs.</w:t>
            </w:r>
          </w:p>
        </w:tc>
      </w:tr>
      <w:tr>
        <w:tc>
          <w:tcPr>
            <w:tcW w:type="dxa" w:w="9360"/>
            <w:tcBorders>
              <w:top w:val="none" w:color="FFFFFF" w:sz="0"/>
              <w:left w:val="none" w:color="FFFFFF" w:sz="0"/>
              <w:bottom w:val="none" w:color="FFFFFF" w:sz="0"/>
              <w:right w:val="none" w:color="FFFFFF" w:sz="0"/>
            </w:tcBorders>
            <w:shd w:fill="EBF2FF" w:val="clear"/>
            <w:tcMar>
              <w:top w:type="dxa" w:w="100"/>
              <w:left w:type="dxa" w:w="200"/>
              <w:bottom w:type="dxa" w:w="100"/>
              <w:right w:type="dxa" w:w="200"/>
            </w:tcMar>
          </w:tcPr>
          <w:p>
            <w:pPr>
              <w:spacing w:after="0" w:before="0" w:line="280"/>
            </w:pPr>
            <w:r>
              <w:rPr>
                <w:rFonts w:ascii="Arial" w:cs="Arial" w:eastAsia="Arial" w:hAnsi="Arial"/>
                <w:b/>
                <w:bCs/>
                <w:color w:val="2563EB"/>
                <w:sz w:val="19"/>
                <w:szCs w:val="19"/>
              </w:rPr>
              <w:t xml:space="preserve">Strategic Rationale: </w:t>
            </w:r>
            <w:r>
              <w:rPr>
                <w:rFonts w:ascii="Arial" w:cs="Arial" w:eastAsia="Arial" w:hAnsi="Arial"/>
                <w:color w:val="1E3A5F"/>
                <w:sz w:val="19"/>
                <w:szCs w:val="19"/>
              </w:rPr>
              <w:t xml:space="preserve">This is a non-negotiable UX rule from the brand guide, applied across all page types. The homepage carries the highest traffic volume and the widest range of visitor intent—above-fold presence ensures no one arrives and wonders what to do next.</w:t>
            </w:r>
          </w:p>
        </w:tc>
      </w:tr>
      <w:tr>
        <w:tc>
          <w:tcPr>
            <w:tcW w:type="dxa" w:w="9360"/>
            <w:tcBorders>
              <w:top w:val="single" w:color="D1D5DB" w:sz="1"/>
              <w:left w:val="none" w:color="FFFFFF" w:sz="0"/>
              <w:bottom w:val="single" w:color="2563EB" w:sz="6"/>
              <w:right w:val="none" w:color="FFFFFF" w:sz="0"/>
            </w:tcBorders>
            <w:tcMar>
              <w:top w:type="dxa" w:w="120"/>
              <w:left w:type="dxa" w:w="200"/>
              <w:bottom w:type="dxa" w:w="14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single" w:color="D1D5DB" w:sz="1"/>
                  </w:tcBorders>
                  <w:tcMar>
                    <w:top w:type="dxa" w:w="0"/>
                    <w:left w:type="dxa" w:w="0"/>
                    <w:bottom w:type="dxa" w:w="0"/>
                    <w:right w:type="dxa" w:w="160"/>
                  </w:tcMar>
                </w:tcPr>
                <w:p>
                  <w:pPr>
                    <w:spacing w:after="60"/>
                  </w:pPr>
                  <w:r>
                    <w:rPr>
                      <w:rFonts w:ascii="Arial" w:cs="Arial" w:eastAsia="Arial" w:hAnsi="Arial"/>
                      <w:b/>
                      <w:bCs/>
                      <w:caps/>
                      <w:color w:val="16A34A"/>
                      <w:sz w:val="17"/>
                      <w:szCs w:val="17"/>
                    </w:rPr>
                    <w:t xml:space="preserve">DO</w:t>
                  </w:r>
                </w:p>
                <w:p>
                  <w:pPr>
                    <w:spacing w:after="40" w:before="40" w:line="260"/>
                  </w:pPr>
                  <w:r>
                    <w:rPr>
                      <w:rFonts w:ascii="Arial" w:cs="Arial" w:eastAsia="Arial" w:hAnsi="Arial"/>
                      <w:color w:val="1F2937"/>
                      <w:sz w:val="19"/>
                      <w:szCs w:val="19"/>
                    </w:rPr>
                    <w:t xml:space="preserve">✓  Ensure the hero section includes a visible, tappable CTA on all viewports</w:t>
                  </w:r>
                </w:p>
                <w:p>
                  <w:pPr>
                    <w:spacing w:after="40" w:before="40" w:line="260"/>
                  </w:pPr>
                  <w:r>
                    <w:rPr>
                      <w:rFonts w:ascii="Arial" w:cs="Arial" w:eastAsia="Arial" w:hAnsi="Arial"/>
                      <w:color w:val="1F2937"/>
                      <w:sz w:val="19"/>
                      <w:szCs w:val="19"/>
                    </w:rPr>
                    <w:t xml:space="preserve">✓  Repeat primary CTA after pillar navigation block and before footer</w:t>
                  </w:r>
                </w:p>
                <w:p>
                  <w:pPr>
                    <w:spacing w:after="40" w:before="40" w:line="260"/>
                  </w:pPr>
                  <w:r>
                    <w:rPr>
                      <w:rFonts w:ascii="Arial" w:cs="Arial" w:eastAsia="Arial" w:hAnsi="Arial"/>
                      <w:color w:val="1F2937"/>
                      <w:sz w:val="19"/>
                      <w:szCs w:val="19"/>
                    </w:rPr>
                    <w:t xml:space="preserve">✓  Implement sticky bottom bar on mobile with primary action + phone icon</w:t>
                  </w:r>
                </w:p>
              </w:tc>
              <w:tc>
                <w:tcPr>
                  <w:tcW w:type="dxa" w:w="44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aps/>
                      <w:color w:val="DC2626"/>
                      <w:sz w:val="17"/>
                      <w:szCs w:val="17"/>
                    </w:rPr>
                    <w:t xml:space="preserve">DON’T</w:t>
                  </w:r>
                </w:p>
                <w:p>
                  <w:pPr>
                    <w:spacing w:after="40" w:before="40" w:line="260"/>
                  </w:pPr>
                  <w:r>
                    <w:rPr>
                      <w:rFonts w:ascii="Arial" w:cs="Arial" w:eastAsia="Arial" w:hAnsi="Arial"/>
                      <w:color w:val="1F2937"/>
                      <w:sz w:val="19"/>
                      <w:szCs w:val="19"/>
                    </w:rPr>
                    <w:t xml:space="preserve">✗  Let the hero section be purely informational with no action element</w:t>
                  </w:r>
                </w:p>
                <w:p>
                  <w:pPr>
                    <w:spacing w:after="40" w:before="40" w:line="260"/>
                  </w:pPr>
                  <w:r>
                    <w:rPr>
                      <w:rFonts w:ascii="Arial" w:cs="Arial" w:eastAsia="Arial" w:hAnsi="Arial"/>
                      <w:color w:val="1F2937"/>
                      <w:sz w:val="19"/>
                      <w:szCs w:val="19"/>
                    </w:rPr>
                    <w:t xml:space="preserve">✗  Rely on navigation links as a substitute for explicit CTAs</w:t>
                  </w:r>
                </w:p>
                <w:p>
                  <w:pPr>
                    <w:spacing w:after="40" w:before="40" w:line="260"/>
                  </w:pPr>
                  <w:r>
                    <w:rPr>
                      <w:rFonts w:ascii="Arial" w:cs="Arial" w:eastAsia="Arial" w:hAnsi="Arial"/>
                      <w:color w:val="1F2937"/>
                      <w:sz w:val="19"/>
                      <w:szCs w:val="19"/>
                    </w:rPr>
                    <w:t xml:space="preserve">✗  Use the same CTA copy at every repetition—vary the context</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0F4F8" w:val="clear"/>
            <w:tcMar>
              <w:top w:type="dxa" w:w="140"/>
              <w:left w:type="dxa" w:w="200"/>
              <w:bottom w:type="dxa" w:w="100"/>
              <w:right w:type="dxa" w:w="200"/>
            </w:tcMar>
          </w:tcPr>
          <w:p>
            <w:pPr>
              <w:spacing w:after="60"/>
            </w:pPr>
            <w:r>
              <w:rPr>
                <w:rFonts w:ascii="Arial" w:cs="Arial" w:eastAsia="Arial" w:hAnsi="Arial"/>
                <w:b/>
                <w:bCs/>
                <w:caps/>
                <w:color w:val="2563EB"/>
                <w:sz w:val="16"/>
                <w:szCs w:val="16"/>
              </w:rPr>
              <w:t xml:space="preserve">PRINCIPLE 6</w:t>
            </w:r>
          </w:p>
          <w:p>
            <w:pPr>
              <w:spacing w:after="0"/>
            </w:pPr>
            <w:r>
              <w:rPr>
                <w:rFonts w:ascii="Arial" w:cs="Arial" w:eastAsia="Arial" w:hAnsi="Arial"/>
                <w:b/>
                <w:bCs/>
                <w:color w:val="1E3A5F"/>
                <w:sz w:val="24"/>
                <w:szCs w:val="24"/>
              </w:rPr>
              <w:t xml:space="preserve">Gold-First Package Hierarchy</w:t>
            </w:r>
          </w:p>
        </w:tc>
      </w:tr>
      <w:tr>
        <w:tc>
          <w:tcPr>
            <w:tcW w:type="dxa" w:w="9360"/>
            <w:tcBorders>
              <w:top w:val="none" w:color="FFFFFF" w:sz="0"/>
              <w:left w:val="none" w:color="FFFFFF" w:sz="0"/>
              <w:bottom w:val="none" w:color="FFFFFF" w:sz="0"/>
              <w:right w:val="none" w:color="FFFFFF" w:sz="0"/>
            </w:tcBorders>
            <w:tcMar>
              <w:top w:type="dxa" w:w="120"/>
              <w:left w:type="dxa" w:w="200"/>
              <w:bottom w:type="dxa" w:w="120"/>
              <w:right w:type="dxa" w:w="200"/>
            </w:tcMar>
          </w:tcPr>
          <w:p>
            <w:pPr>
              <w:spacing w:after="0" w:before="0" w:line="300"/>
            </w:pPr>
            <w:r>
              <w:rPr>
                <w:rFonts w:ascii="Arial" w:cs="Arial" w:eastAsia="Arial" w:hAnsi="Arial"/>
                <w:color w:val="1F2937"/>
                <w:sz w:val="21"/>
                <w:szCs w:val="21"/>
              </w:rPr>
              <w:t xml:space="preserve">Whenever packages appear on the homepage, Gold is highlighted as “Most Popular” with a visually elevated card, highlighted border, and prominent badge. Silver is visible but subordinate. Bronze gets minimal presence. Always show the renewal rate alongside the formation price. This is the all-inclusive transparency promise in visual form.</w:t>
            </w:r>
          </w:p>
        </w:tc>
      </w:tr>
      <w:tr>
        <w:tc>
          <w:tcPr>
            <w:tcW w:type="dxa" w:w="9360"/>
            <w:tcBorders>
              <w:top w:val="none" w:color="FFFFFF" w:sz="0"/>
              <w:left w:val="none" w:color="FFFFFF" w:sz="0"/>
              <w:bottom w:val="none" w:color="FFFFFF" w:sz="0"/>
              <w:right w:val="none" w:color="FFFFFF" w:sz="0"/>
            </w:tcBorders>
            <w:shd w:fill="EBF2FF" w:val="clear"/>
            <w:tcMar>
              <w:top w:type="dxa" w:w="100"/>
              <w:left w:type="dxa" w:w="200"/>
              <w:bottom w:type="dxa" w:w="100"/>
              <w:right w:type="dxa" w:w="200"/>
            </w:tcMar>
          </w:tcPr>
          <w:p>
            <w:pPr>
              <w:spacing w:after="0" w:before="0" w:line="280"/>
            </w:pPr>
            <w:r>
              <w:rPr>
                <w:rFonts w:ascii="Arial" w:cs="Arial" w:eastAsia="Arial" w:hAnsi="Arial"/>
                <w:b/>
                <w:bCs/>
                <w:color w:val="2563EB"/>
                <w:sz w:val="19"/>
                <w:szCs w:val="19"/>
              </w:rPr>
              <w:t xml:space="preserve">Strategic Rationale: </w:t>
            </w:r>
            <w:r>
              <w:rPr>
                <w:rFonts w:ascii="Arial" w:cs="Arial" w:eastAsia="Arial" w:hAnsi="Arial"/>
                <w:color w:val="1E3A5F"/>
                <w:sz w:val="19"/>
                <w:szCs w:val="19"/>
              </w:rPr>
              <w:t xml:space="preserve">Gold (Privacy) is the hero product and the highest-margin offering. The positioning framework designates it as the recommended standard for anyone seeking privacy. Visual hierarchy on the homepage sets the expectation that carries through to package pages.</w:t>
            </w:r>
          </w:p>
        </w:tc>
      </w:tr>
      <w:tr>
        <w:tc>
          <w:tcPr>
            <w:tcW w:type="dxa" w:w="9360"/>
            <w:tcBorders>
              <w:top w:val="single" w:color="D1D5DB" w:sz="1"/>
              <w:left w:val="none" w:color="FFFFFF" w:sz="0"/>
              <w:bottom w:val="single" w:color="2563EB" w:sz="6"/>
              <w:right w:val="none" w:color="FFFFFF" w:sz="0"/>
            </w:tcBorders>
            <w:tcMar>
              <w:top w:type="dxa" w:w="120"/>
              <w:left w:type="dxa" w:w="200"/>
              <w:bottom w:type="dxa" w:w="14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single" w:color="D1D5DB" w:sz="1"/>
                  </w:tcBorders>
                  <w:tcMar>
                    <w:top w:type="dxa" w:w="0"/>
                    <w:left w:type="dxa" w:w="0"/>
                    <w:bottom w:type="dxa" w:w="0"/>
                    <w:right w:type="dxa" w:w="160"/>
                  </w:tcMar>
                </w:tcPr>
                <w:p>
                  <w:pPr>
                    <w:spacing w:after="60"/>
                  </w:pPr>
                  <w:r>
                    <w:rPr>
                      <w:rFonts w:ascii="Arial" w:cs="Arial" w:eastAsia="Arial" w:hAnsi="Arial"/>
                      <w:b/>
                      <w:bCs/>
                      <w:caps/>
                      <w:color w:val="16A34A"/>
                      <w:sz w:val="17"/>
                      <w:szCs w:val="17"/>
                    </w:rPr>
                    <w:t xml:space="preserve">DO</w:t>
                  </w:r>
                </w:p>
                <w:p>
                  <w:pPr>
                    <w:spacing w:after="40" w:before="40" w:line="260"/>
                  </w:pPr>
                  <w:r>
                    <w:rPr>
                      <w:rFonts w:ascii="Arial" w:cs="Arial" w:eastAsia="Arial" w:hAnsi="Arial"/>
                      <w:color w:val="1F2937"/>
                      <w:sz w:val="19"/>
                      <w:szCs w:val="19"/>
                    </w:rPr>
                    <w:t xml:space="preserve">✓  Display Gold first or center with “Most Popular” badge and elevated styling</w:t>
                  </w:r>
                </w:p>
                <w:p>
                  <w:pPr>
                    <w:spacing w:after="40" w:before="40" w:line="260"/>
                  </w:pPr>
                  <w:r>
                    <w:rPr>
                      <w:rFonts w:ascii="Arial" w:cs="Arial" w:eastAsia="Arial" w:hAnsi="Arial"/>
                      <w:color w:val="1F2937"/>
                      <w:sz w:val="19"/>
                      <w:szCs w:val="19"/>
                    </w:rPr>
                    <w:t xml:space="preserve">✓  Show both formation price and annual renewal ($1,275 + $525/yr for WY)</w:t>
                  </w:r>
                </w:p>
                <w:p>
                  <w:pPr>
                    <w:spacing w:after="40" w:before="40" w:line="260"/>
                  </w:pPr>
                  <w:r>
                    <w:rPr>
                      <w:rFonts w:ascii="Arial" w:cs="Arial" w:eastAsia="Arial" w:hAnsi="Arial"/>
                      <w:color w:val="1F2937"/>
                      <w:sz w:val="19"/>
                      <w:szCs w:val="19"/>
                    </w:rPr>
                    <w:t xml:space="preserve">✓  Include a brief value-comparison line (“Includes $2,000+ in services”)</w:t>
                  </w:r>
                </w:p>
              </w:tc>
              <w:tc>
                <w:tcPr>
                  <w:tcW w:type="dxa" w:w="44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aps/>
                      <w:color w:val="DC2626"/>
                      <w:sz w:val="17"/>
                      <w:szCs w:val="17"/>
                    </w:rPr>
                    <w:t xml:space="preserve">DON’T</w:t>
                  </w:r>
                </w:p>
                <w:p>
                  <w:pPr>
                    <w:spacing w:after="40" w:before="40" w:line="260"/>
                  </w:pPr>
                  <w:r>
                    <w:rPr>
                      <w:rFonts w:ascii="Arial" w:cs="Arial" w:eastAsia="Arial" w:hAnsi="Arial"/>
                      <w:color w:val="1F2937"/>
                      <w:sz w:val="19"/>
                      <w:szCs w:val="19"/>
                    </w:rPr>
                    <w:t xml:space="preserve">✗  Give Bronze equal visual weight or position it as the default</w:t>
                  </w:r>
                </w:p>
                <w:p>
                  <w:pPr>
                    <w:spacing w:after="40" w:before="40" w:line="260"/>
                  </w:pPr>
                  <w:r>
                    <w:rPr>
                      <w:rFonts w:ascii="Arial" w:cs="Arial" w:eastAsia="Arial" w:hAnsi="Arial"/>
                      <w:color w:val="1F2937"/>
                      <w:sz w:val="19"/>
                      <w:szCs w:val="19"/>
                    </w:rPr>
                    <w:t xml:space="preserve">✗  Show formation price without the renewal rate</w:t>
                  </w:r>
                </w:p>
                <w:p>
                  <w:pPr>
                    <w:spacing w:after="40" w:before="40" w:line="260"/>
                  </w:pPr>
                  <w:r>
                    <w:rPr>
                      <w:rFonts w:ascii="Arial" w:cs="Arial" w:eastAsia="Arial" w:hAnsi="Arial"/>
                      <w:color w:val="1F2937"/>
                      <w:sz w:val="19"/>
                      <w:szCs w:val="19"/>
                    </w:rPr>
                    <w:t xml:space="preserve">✗  Use “starting at” language—always say “all-inclusive”</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0F4F8" w:val="clear"/>
            <w:tcMar>
              <w:top w:type="dxa" w:w="140"/>
              <w:left w:type="dxa" w:w="200"/>
              <w:bottom w:type="dxa" w:w="100"/>
              <w:right w:type="dxa" w:w="200"/>
            </w:tcMar>
          </w:tcPr>
          <w:p>
            <w:pPr>
              <w:spacing w:after="60"/>
            </w:pPr>
            <w:r>
              <w:rPr>
                <w:rFonts w:ascii="Arial" w:cs="Arial" w:eastAsia="Arial" w:hAnsi="Arial"/>
                <w:b/>
                <w:bCs/>
                <w:caps/>
                <w:color w:val="2563EB"/>
                <w:sz w:val="16"/>
                <w:szCs w:val="16"/>
              </w:rPr>
              <w:t xml:space="preserve">PRINCIPLE 7</w:t>
            </w:r>
          </w:p>
          <w:p>
            <w:pPr>
              <w:spacing w:after="0"/>
            </w:pPr>
            <w:r>
              <w:rPr>
                <w:rFonts w:ascii="Arial" w:cs="Arial" w:eastAsia="Arial" w:hAnsi="Arial"/>
                <w:b/>
                <w:bCs/>
                <w:color w:val="1E3A5F"/>
                <w:sz w:val="24"/>
                <w:szCs w:val="24"/>
              </w:rPr>
              <w:t xml:space="preserve">Trust Compensates for Zero Reviews</w:t>
            </w:r>
          </w:p>
        </w:tc>
      </w:tr>
      <w:tr>
        <w:tc>
          <w:tcPr>
            <w:tcW w:type="dxa" w:w="9360"/>
            <w:tcBorders>
              <w:top w:val="none" w:color="FFFFFF" w:sz="0"/>
              <w:left w:val="none" w:color="FFFFFF" w:sz="0"/>
              <w:bottom w:val="none" w:color="FFFFFF" w:sz="0"/>
              <w:right w:val="none" w:color="FFFFFF" w:sz="0"/>
            </w:tcBorders>
            <w:tcMar>
              <w:top w:type="dxa" w:w="120"/>
              <w:left w:type="dxa" w:w="200"/>
              <w:bottom w:type="dxa" w:w="120"/>
              <w:right w:type="dxa" w:w="200"/>
            </w:tcMar>
          </w:tcPr>
          <w:p>
            <w:pPr>
              <w:spacing w:after="0" w:before="0" w:line="300"/>
            </w:pPr>
            <w:r>
              <w:rPr>
                <w:rFonts w:ascii="Arial" w:cs="Arial" w:eastAsia="Arial" w:hAnsi="Arial"/>
                <w:color w:val="1F2937"/>
                <w:sz w:val="21"/>
                <w:szCs w:val="21"/>
              </w:rPr>
              <w:t xml:space="preserve">With no public platform reviews at launch, the homepage carries the heaviest trust burden. The trust architecture prescribes six immediate signals: 25-year track record, real Reno office, founder visibility, money-back guarantee, crypto payment badges (privacy alignment signal), and prominent phone number. These are structural elements, not decorative—they compensate for the social proof gap until Trustpilot reviews accumulate.</w:t>
            </w:r>
          </w:p>
        </w:tc>
      </w:tr>
      <w:tr>
        <w:tc>
          <w:tcPr>
            <w:tcW w:type="dxa" w:w="9360"/>
            <w:tcBorders>
              <w:top w:val="none" w:color="FFFFFF" w:sz="0"/>
              <w:left w:val="none" w:color="FFFFFF" w:sz="0"/>
              <w:bottom w:val="none" w:color="FFFFFF" w:sz="0"/>
              <w:right w:val="none" w:color="FFFFFF" w:sz="0"/>
            </w:tcBorders>
            <w:shd w:fill="EBF2FF" w:val="clear"/>
            <w:tcMar>
              <w:top w:type="dxa" w:w="100"/>
              <w:left w:type="dxa" w:w="200"/>
              <w:bottom w:type="dxa" w:w="100"/>
              <w:right w:type="dxa" w:w="200"/>
            </w:tcMar>
          </w:tcPr>
          <w:p>
            <w:pPr>
              <w:spacing w:after="0" w:before="0" w:line="280"/>
            </w:pPr>
            <w:r>
              <w:rPr>
                <w:rFonts w:ascii="Arial" w:cs="Arial" w:eastAsia="Arial" w:hAnsi="Arial"/>
                <w:b/>
                <w:bCs/>
                <w:color w:val="2563EB"/>
                <w:sz w:val="19"/>
                <w:szCs w:val="19"/>
              </w:rPr>
              <w:t xml:space="preserve">Strategic Rationale: </w:t>
            </w:r>
            <w:r>
              <w:rPr>
                <w:rFonts w:ascii="Arial" w:cs="Arial" w:eastAsia="Arial" w:hAnsi="Arial"/>
                <w:color w:val="1E3A5F"/>
                <w:sz w:val="19"/>
                <w:szCs w:val="19"/>
              </w:rPr>
              <w:t xml:space="preserve">NCH has 12,340+ Trustpilot reviews at 5.0. Anderson has attorney credibility. Incorporate123 has neither. Without systematic trust architecture, the premium pricing ($1,275+) becomes a conversion barrier. Every trust signal earns permission to charge more than the $0 formation competitors.</w:t>
            </w:r>
          </w:p>
        </w:tc>
      </w:tr>
      <w:tr>
        <w:tc>
          <w:tcPr>
            <w:tcW w:type="dxa" w:w="9360"/>
            <w:tcBorders>
              <w:top w:val="single" w:color="D1D5DB" w:sz="1"/>
              <w:left w:val="none" w:color="FFFFFF" w:sz="0"/>
              <w:bottom w:val="single" w:color="2563EB" w:sz="6"/>
              <w:right w:val="none" w:color="FFFFFF" w:sz="0"/>
            </w:tcBorders>
            <w:tcMar>
              <w:top w:type="dxa" w:w="120"/>
              <w:left w:type="dxa" w:w="200"/>
              <w:bottom w:type="dxa" w:w="14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single" w:color="D1D5DB" w:sz="1"/>
                  </w:tcBorders>
                  <w:tcMar>
                    <w:top w:type="dxa" w:w="0"/>
                    <w:left w:type="dxa" w:w="0"/>
                    <w:bottom w:type="dxa" w:w="0"/>
                    <w:right w:type="dxa" w:w="160"/>
                  </w:tcMar>
                </w:tcPr>
                <w:p>
                  <w:pPr>
                    <w:spacing w:after="60"/>
                  </w:pPr>
                  <w:r>
                    <w:rPr>
                      <w:rFonts w:ascii="Arial" w:cs="Arial" w:eastAsia="Arial" w:hAnsi="Arial"/>
                      <w:b/>
                      <w:bCs/>
                      <w:caps/>
                      <w:color w:val="16A34A"/>
                      <w:sz w:val="17"/>
                      <w:szCs w:val="17"/>
                    </w:rPr>
                    <w:t xml:space="preserve">DO</w:t>
                  </w:r>
                </w:p>
                <w:p>
                  <w:pPr>
                    <w:spacing w:after="40" w:before="40" w:line="260"/>
                  </w:pPr>
                  <w:r>
                    <w:rPr>
                      <w:rFonts w:ascii="Arial" w:cs="Arial" w:eastAsia="Arial" w:hAnsi="Arial"/>
                      <w:color w:val="1F2937"/>
                      <w:sz w:val="19"/>
                      <w:szCs w:val="19"/>
                    </w:rPr>
                    <w:t xml:space="preserve">✓  Include a dedicated trust signals bar with all six signals</w:t>
                  </w:r>
                </w:p>
                <w:p>
                  <w:pPr>
                    <w:spacing w:after="40" w:before="40" w:line="260"/>
                  </w:pPr>
                  <w:r>
                    <w:rPr>
                      <w:rFonts w:ascii="Arial" w:cs="Arial" w:eastAsia="Arial" w:hAnsi="Arial"/>
                      <w:color w:val="1F2937"/>
                      <w:sz w:val="19"/>
                      <w:szCs w:val="19"/>
                    </w:rPr>
                    <w:t xml:space="preserve">✓  Make phone number clickable in the header and within trust bar</w:t>
                  </w:r>
                </w:p>
                <w:p>
                  <w:pPr>
                    <w:spacing w:after="40" w:before="40" w:line="260"/>
                  </w:pPr>
                  <w:r>
                    <w:rPr>
                      <w:rFonts w:ascii="Arial" w:cs="Arial" w:eastAsia="Arial" w:hAnsi="Arial"/>
                      <w:color w:val="1F2937"/>
                      <w:sz w:val="19"/>
                      <w:szCs w:val="19"/>
                    </w:rPr>
                    <w:t xml:space="preserve">✓  Design testimonial section to scale from 2–3 quotes to a full carousel</w:t>
                  </w:r>
                </w:p>
              </w:tc>
              <w:tc>
                <w:tcPr>
                  <w:tcW w:type="dxa" w:w="44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aps/>
                      <w:color w:val="DC2626"/>
                      <w:sz w:val="17"/>
                      <w:szCs w:val="17"/>
                    </w:rPr>
                    <w:t xml:space="preserve">DON’T</w:t>
                  </w:r>
                </w:p>
                <w:p>
                  <w:pPr>
                    <w:spacing w:after="40" w:before="40" w:line="260"/>
                  </w:pPr>
                  <w:r>
                    <w:rPr>
                      <w:rFonts w:ascii="Arial" w:cs="Arial" w:eastAsia="Arial" w:hAnsi="Arial"/>
                      <w:color w:val="1F2937"/>
                      <w:sz w:val="19"/>
                      <w:szCs w:val="19"/>
                    </w:rPr>
                    <w:t xml:space="preserve">✗  Treat trust signals as optional decoration in the footer only</w:t>
                  </w:r>
                </w:p>
                <w:p>
                  <w:pPr>
                    <w:spacing w:after="40" w:before="40" w:line="260"/>
                  </w:pPr>
                  <w:r>
                    <w:rPr>
                      <w:rFonts w:ascii="Arial" w:cs="Arial" w:eastAsia="Arial" w:hAnsi="Arial"/>
                      <w:color w:val="1F2937"/>
                      <w:sz w:val="19"/>
                      <w:szCs w:val="19"/>
                    </w:rPr>
                    <w:t xml:space="preserve">✗  Use generic stock photography of people—it contradicts privacy positioning</w:t>
                  </w:r>
                </w:p>
                <w:p>
                  <w:pPr>
                    <w:spacing w:after="40" w:before="40" w:line="260"/>
                  </w:pPr>
                  <w:r>
                    <w:rPr>
                      <w:rFonts w:ascii="Arial" w:cs="Arial" w:eastAsia="Arial" w:hAnsi="Arial"/>
                      <w:color w:val="1F2937"/>
                      <w:sz w:val="19"/>
                      <w:szCs w:val="19"/>
                    </w:rPr>
                    <w:t xml:space="preserve">✗  Wait for reviews before building trust infrastructure into the homepage</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0F4F8" w:val="clear"/>
            <w:tcMar>
              <w:top w:type="dxa" w:w="140"/>
              <w:left w:type="dxa" w:w="200"/>
              <w:bottom w:type="dxa" w:w="100"/>
              <w:right w:type="dxa" w:w="200"/>
            </w:tcMar>
          </w:tcPr>
          <w:p>
            <w:pPr>
              <w:spacing w:after="60"/>
            </w:pPr>
            <w:r>
              <w:rPr>
                <w:rFonts w:ascii="Arial" w:cs="Arial" w:eastAsia="Arial" w:hAnsi="Arial"/>
                <w:b/>
                <w:bCs/>
                <w:caps/>
                <w:color w:val="2563EB"/>
                <w:sz w:val="16"/>
                <w:szCs w:val="16"/>
              </w:rPr>
              <w:t xml:space="preserve">PRINCIPLE 8</w:t>
            </w:r>
          </w:p>
          <w:p>
            <w:pPr>
              <w:spacing w:after="0"/>
            </w:pPr>
            <w:r>
              <w:rPr>
                <w:rFonts w:ascii="Arial" w:cs="Arial" w:eastAsia="Arial" w:hAnsi="Arial"/>
                <w:b/>
                <w:bCs/>
                <w:color w:val="1E3A5F"/>
                <w:sz w:val="24"/>
                <w:szCs w:val="24"/>
              </w:rPr>
              <w:t xml:space="preserve">Privacy Is the Lead Message</w:t>
            </w:r>
          </w:p>
        </w:tc>
      </w:tr>
      <w:tr>
        <w:tc>
          <w:tcPr>
            <w:tcW w:type="dxa" w:w="9360"/>
            <w:tcBorders>
              <w:top w:val="none" w:color="FFFFFF" w:sz="0"/>
              <w:left w:val="none" w:color="FFFFFF" w:sz="0"/>
              <w:bottom w:val="none" w:color="FFFFFF" w:sz="0"/>
              <w:right w:val="none" w:color="FFFFFF" w:sz="0"/>
            </w:tcBorders>
            <w:tcMar>
              <w:top w:type="dxa" w:w="120"/>
              <w:left w:type="dxa" w:w="200"/>
              <w:bottom w:type="dxa" w:w="120"/>
              <w:right w:type="dxa" w:w="200"/>
            </w:tcMar>
          </w:tcPr>
          <w:p>
            <w:pPr>
              <w:spacing w:after="0" w:before="0" w:line="300"/>
            </w:pPr>
            <w:r>
              <w:rPr>
                <w:rFonts w:ascii="Arial" w:cs="Arial" w:eastAsia="Arial" w:hAnsi="Arial"/>
                <w:color w:val="1F2937"/>
                <w:sz w:val="21"/>
                <w:szCs w:val="21"/>
              </w:rPr>
              <w:t xml:space="preserve">David’s two selling points are privacy and minimum necessary compliance. The hero headline, the first pillar card, and the primary visual weight all signal “this is a privacy company that also forms businesses”—not the other way around. Privacy (blue) gets the dominant position in every homepage element where pillars appear.</w:t>
            </w:r>
          </w:p>
        </w:tc>
      </w:tr>
      <w:tr>
        <w:tc>
          <w:tcPr>
            <w:tcW w:type="dxa" w:w="9360"/>
            <w:tcBorders>
              <w:top w:val="none" w:color="FFFFFF" w:sz="0"/>
              <w:left w:val="none" w:color="FFFFFF" w:sz="0"/>
              <w:bottom w:val="none" w:color="FFFFFF" w:sz="0"/>
              <w:right w:val="none" w:color="FFFFFF" w:sz="0"/>
            </w:tcBorders>
            <w:shd w:fill="EBF2FF" w:val="clear"/>
            <w:tcMar>
              <w:top w:type="dxa" w:w="100"/>
              <w:left w:type="dxa" w:w="200"/>
              <w:bottom w:type="dxa" w:w="100"/>
              <w:right w:type="dxa" w:w="200"/>
            </w:tcMar>
          </w:tcPr>
          <w:p>
            <w:pPr>
              <w:spacing w:after="0" w:before="0" w:line="280"/>
            </w:pPr>
            <w:r>
              <w:rPr>
                <w:rFonts w:ascii="Arial" w:cs="Arial" w:eastAsia="Arial" w:hAnsi="Arial"/>
                <w:b/>
                <w:bCs/>
                <w:color w:val="2563EB"/>
                <w:sz w:val="19"/>
                <w:szCs w:val="19"/>
              </w:rPr>
              <w:t xml:space="preserve">Strategic Rationale: </w:t>
            </w:r>
            <w:r>
              <w:rPr>
                <w:rFonts w:ascii="Arial" w:cs="Arial" w:eastAsia="Arial" w:hAnsi="Arial"/>
                <w:color w:val="1E3A5F"/>
                <w:sz w:val="19"/>
                <w:szCs w:val="19"/>
              </w:rPr>
              <w:t xml:space="preserve">Privacy keywords have 5,500–9,500 monthly searches with minimal competition from budget providers. Formation keywords are dominated by companies with $50M+ ad spend. Leading with privacy targets the uncontested search landscape and matches the premium self-service positioning.</w:t>
            </w:r>
          </w:p>
        </w:tc>
      </w:tr>
      <w:tr>
        <w:tc>
          <w:tcPr>
            <w:tcW w:type="dxa" w:w="9360"/>
            <w:tcBorders>
              <w:top w:val="single" w:color="D1D5DB" w:sz="1"/>
              <w:left w:val="none" w:color="FFFFFF" w:sz="0"/>
              <w:bottom w:val="single" w:color="2563EB" w:sz="6"/>
              <w:right w:val="none" w:color="FFFFFF" w:sz="0"/>
            </w:tcBorders>
            <w:tcMar>
              <w:top w:type="dxa" w:w="120"/>
              <w:left w:type="dxa" w:w="200"/>
              <w:bottom w:type="dxa" w:w="14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single" w:color="D1D5DB" w:sz="1"/>
                  </w:tcBorders>
                  <w:tcMar>
                    <w:top w:type="dxa" w:w="0"/>
                    <w:left w:type="dxa" w:w="0"/>
                    <w:bottom w:type="dxa" w:w="0"/>
                    <w:right w:type="dxa" w:w="160"/>
                  </w:tcMar>
                </w:tcPr>
                <w:p>
                  <w:pPr>
                    <w:spacing w:after="60"/>
                  </w:pPr>
                  <w:r>
                    <w:rPr>
                      <w:rFonts w:ascii="Arial" w:cs="Arial" w:eastAsia="Arial" w:hAnsi="Arial"/>
                      <w:b/>
                      <w:bCs/>
                      <w:caps/>
                      <w:color w:val="16A34A"/>
                      <w:sz w:val="17"/>
                      <w:szCs w:val="17"/>
                    </w:rPr>
                    <w:t xml:space="preserve">DO</w:t>
                  </w:r>
                </w:p>
                <w:p>
                  <w:pPr>
                    <w:spacing w:after="40" w:before="40" w:line="260"/>
                  </w:pPr>
                  <w:r>
                    <w:rPr>
                      <w:rFonts w:ascii="Arial" w:cs="Arial" w:eastAsia="Arial" w:hAnsi="Arial"/>
                      <w:color w:val="1F2937"/>
                      <w:sz w:val="19"/>
                      <w:szCs w:val="19"/>
                    </w:rPr>
                    <w:t xml:space="preserve">✓  Make the hero headline about privacy/protection outcomes, not entity formation</w:t>
                  </w:r>
                </w:p>
                <w:p>
                  <w:pPr>
                    <w:spacing w:after="40" w:before="40" w:line="260"/>
                  </w:pPr>
                  <w:r>
                    <w:rPr>
                      <w:rFonts w:ascii="Arial" w:cs="Arial" w:eastAsia="Arial" w:hAnsi="Arial"/>
                      <w:color w:val="1F2937"/>
                      <w:sz w:val="19"/>
                      <w:szCs w:val="19"/>
                    </w:rPr>
                    <w:t xml:space="preserve">✓  Position the Privacy pillar card first in the navigation block</w:t>
                  </w:r>
                </w:p>
                <w:p>
                  <w:pPr>
                    <w:spacing w:after="40" w:before="40" w:line="260"/>
                  </w:pPr>
                  <w:r>
                    <w:rPr>
                      <w:rFonts w:ascii="Arial" w:cs="Arial" w:eastAsia="Arial" w:hAnsi="Arial"/>
                      <w:color w:val="1F2937"/>
                      <w:sz w:val="19"/>
                      <w:szCs w:val="19"/>
                    </w:rPr>
                    <w:t xml:space="preserve">✓  Use privacy-related imagery and language as the dominant visual theme</w:t>
                  </w:r>
                </w:p>
              </w:tc>
              <w:tc>
                <w:tcPr>
                  <w:tcW w:type="dxa" w:w="44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aps/>
                      <w:color w:val="DC2626"/>
                      <w:sz w:val="17"/>
                      <w:szCs w:val="17"/>
                    </w:rPr>
                    <w:t xml:space="preserve">DON’T</w:t>
                  </w:r>
                </w:p>
                <w:p>
                  <w:pPr>
                    <w:spacing w:after="40" w:before="40" w:line="260"/>
                  </w:pPr>
                  <w:r>
                    <w:rPr>
                      <w:rFonts w:ascii="Arial" w:cs="Arial" w:eastAsia="Arial" w:hAnsi="Arial"/>
                      <w:color w:val="1F2937"/>
                      <w:sz w:val="19"/>
                      <w:szCs w:val="19"/>
                    </w:rPr>
                    <w:t xml:space="preserve">✗  Lead with “Form Your LLC” or “Start Your Business” as the hero headline</w:t>
                  </w:r>
                </w:p>
                <w:p>
                  <w:pPr>
                    <w:spacing w:after="40" w:before="40" w:line="260"/>
                  </w:pPr>
                  <w:r>
                    <w:rPr>
                      <w:rFonts w:ascii="Arial" w:cs="Arial" w:eastAsia="Arial" w:hAnsi="Arial"/>
                      <w:color w:val="1F2937"/>
                      <w:sz w:val="19"/>
                      <w:szCs w:val="19"/>
                    </w:rPr>
                    <w:t xml:space="preserve">✗  Give Formation equal visual weight to Privacy in the pillar hierarchy</w:t>
                  </w:r>
                </w:p>
                <w:p>
                  <w:pPr>
                    <w:spacing w:after="40" w:before="40" w:line="260"/>
                  </w:pPr>
                  <w:r>
                    <w:rPr>
                      <w:rFonts w:ascii="Arial" w:cs="Arial" w:eastAsia="Arial" w:hAnsi="Arial"/>
                      <w:color w:val="1F2937"/>
                      <w:sz w:val="19"/>
                      <w:szCs w:val="19"/>
                    </w:rPr>
                    <w:t xml:space="preserve">✗  Bury privacy messaging below the fold behind formation content</w:t>
                  </w:r>
                </w:p>
              </w:tc>
            </w:tr>
          </w:tbl>
          <w:p/>
        </w:tc>
      </w:tr>
    </w:tbl>
    <w:p>
      <w:r>
        <w:br w:type="page"/>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0F4F8" w:val="clear"/>
            <w:tcMar>
              <w:top w:type="dxa" w:w="140"/>
              <w:left w:type="dxa" w:w="200"/>
              <w:bottom w:type="dxa" w:w="100"/>
              <w:right w:type="dxa" w:w="200"/>
            </w:tcMar>
          </w:tcPr>
          <w:p>
            <w:pPr>
              <w:spacing w:after="60"/>
            </w:pPr>
            <w:r>
              <w:rPr>
                <w:rFonts w:ascii="Arial" w:cs="Arial" w:eastAsia="Arial" w:hAnsi="Arial"/>
                <w:b/>
                <w:bCs/>
                <w:caps/>
                <w:color w:val="2563EB"/>
                <w:sz w:val="16"/>
                <w:szCs w:val="16"/>
              </w:rPr>
              <w:t xml:space="preserve">PRINCIPLE 9</w:t>
            </w:r>
          </w:p>
          <w:p>
            <w:pPr>
              <w:spacing w:after="0"/>
            </w:pPr>
            <w:r>
              <w:rPr>
                <w:rFonts w:ascii="Arial" w:cs="Arial" w:eastAsia="Arial" w:hAnsi="Arial"/>
                <w:b/>
                <w:bCs/>
                <w:color w:val="1E3A5F"/>
                <w:sz w:val="24"/>
                <w:szCs w:val="24"/>
              </w:rPr>
              <w:t xml:space="preserve">Pillar Color-Coding Starts Here</w:t>
            </w:r>
          </w:p>
        </w:tc>
      </w:tr>
      <w:tr>
        <w:tc>
          <w:tcPr>
            <w:tcW w:type="dxa" w:w="9360"/>
            <w:tcBorders>
              <w:top w:val="none" w:color="FFFFFF" w:sz="0"/>
              <w:left w:val="none" w:color="FFFFFF" w:sz="0"/>
              <w:bottom w:val="none" w:color="FFFFFF" w:sz="0"/>
              <w:right w:val="none" w:color="FFFFFF" w:sz="0"/>
            </w:tcBorders>
            <w:tcMar>
              <w:top w:type="dxa" w:w="120"/>
              <w:left w:type="dxa" w:w="200"/>
              <w:bottom w:type="dxa" w:w="120"/>
              <w:right w:type="dxa" w:w="200"/>
            </w:tcMar>
          </w:tcPr>
          <w:p>
            <w:pPr>
              <w:spacing w:after="0" w:before="0" w:line="300"/>
            </w:pPr>
            <w:r>
              <w:rPr>
                <w:rFonts w:ascii="Arial" w:cs="Arial" w:eastAsia="Arial" w:hAnsi="Arial"/>
                <w:color w:val="1F2937"/>
                <w:sz w:val="21"/>
                <w:szCs w:val="21"/>
              </w:rPr>
              <w:t xml:space="preserve">The homepage is where visitors first encounter the visual language that carries through the entire site: Privacy = Blue (#2563EB), Asset Protection = Green (#16A34A), Formation = Amber (#D97706), Compliance = Purple (#9333EA). If the pillar cards on the homepage don’t establish this system clearly, every subsequent page loses its wayfinding cue.</w:t>
            </w:r>
          </w:p>
        </w:tc>
      </w:tr>
      <w:tr>
        <w:tc>
          <w:tcPr>
            <w:tcW w:type="dxa" w:w="9360"/>
            <w:tcBorders>
              <w:top w:val="none" w:color="FFFFFF" w:sz="0"/>
              <w:left w:val="none" w:color="FFFFFF" w:sz="0"/>
              <w:bottom w:val="none" w:color="FFFFFF" w:sz="0"/>
              <w:right w:val="none" w:color="FFFFFF" w:sz="0"/>
            </w:tcBorders>
            <w:shd w:fill="EBF2FF" w:val="clear"/>
            <w:tcMar>
              <w:top w:type="dxa" w:w="100"/>
              <w:left w:type="dxa" w:w="200"/>
              <w:bottom w:type="dxa" w:w="100"/>
              <w:right w:type="dxa" w:w="200"/>
            </w:tcMar>
          </w:tcPr>
          <w:p>
            <w:pPr>
              <w:spacing w:after="0" w:before="0" w:line="280"/>
            </w:pPr>
            <w:r>
              <w:rPr>
                <w:rFonts w:ascii="Arial" w:cs="Arial" w:eastAsia="Arial" w:hAnsi="Arial"/>
                <w:b/>
                <w:bCs/>
                <w:color w:val="2563EB"/>
                <w:sz w:val="19"/>
                <w:szCs w:val="19"/>
              </w:rPr>
              <w:t xml:space="preserve">Strategic Rationale: </w:t>
            </w:r>
            <w:r>
              <w:rPr>
                <w:rFonts w:ascii="Arial" w:cs="Arial" w:eastAsia="Arial" w:hAnsi="Arial"/>
                <w:color w:val="1E3A5F"/>
                <w:sz w:val="19"/>
                <w:szCs w:val="19"/>
              </w:rPr>
              <w:t xml:space="preserve">The 71-page architecture uses pillar-specific color coding on every page type. The homepage is the only page where all pillars appear together—it’s the teaching moment for the color system. Visitors who internalize the association here navigate faster across the site.</w:t>
            </w:r>
          </w:p>
        </w:tc>
      </w:tr>
      <w:tr>
        <w:tc>
          <w:tcPr>
            <w:tcW w:type="dxa" w:w="9360"/>
            <w:tcBorders>
              <w:top w:val="single" w:color="D1D5DB" w:sz="1"/>
              <w:left w:val="none" w:color="FFFFFF" w:sz="0"/>
              <w:bottom w:val="single" w:color="2563EB" w:sz="6"/>
              <w:right w:val="none" w:color="FFFFFF" w:sz="0"/>
            </w:tcBorders>
            <w:tcMar>
              <w:top w:type="dxa" w:w="120"/>
              <w:left w:type="dxa" w:w="200"/>
              <w:bottom w:type="dxa" w:w="14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single" w:color="D1D5DB" w:sz="1"/>
                  </w:tcBorders>
                  <w:tcMar>
                    <w:top w:type="dxa" w:w="0"/>
                    <w:left w:type="dxa" w:w="0"/>
                    <w:bottom w:type="dxa" w:w="0"/>
                    <w:right w:type="dxa" w:w="160"/>
                  </w:tcMar>
                </w:tcPr>
                <w:p>
                  <w:pPr>
                    <w:spacing w:after="60"/>
                  </w:pPr>
                  <w:r>
                    <w:rPr>
                      <w:rFonts w:ascii="Arial" w:cs="Arial" w:eastAsia="Arial" w:hAnsi="Arial"/>
                      <w:b/>
                      <w:bCs/>
                      <w:caps/>
                      <w:color w:val="16A34A"/>
                      <w:sz w:val="17"/>
                      <w:szCs w:val="17"/>
                    </w:rPr>
                    <w:t xml:space="preserve">DO</w:t>
                  </w:r>
                </w:p>
                <w:p>
                  <w:pPr>
                    <w:spacing w:after="40" w:before="40" w:line="260"/>
                  </w:pPr>
                  <w:r>
                    <w:rPr>
                      <w:rFonts w:ascii="Arial" w:cs="Arial" w:eastAsia="Arial" w:hAnsi="Arial"/>
                      <w:color w:val="1F2937"/>
                      <w:sz w:val="19"/>
                      <w:szCs w:val="19"/>
                    </w:rPr>
                    <w:t xml:space="preserve">✓  Apply pillar colors consistently to card borders, icons, and accent elements</w:t>
                  </w:r>
                </w:p>
                <w:p>
                  <w:pPr>
                    <w:spacing w:after="40" w:before="40" w:line="260"/>
                  </w:pPr>
                  <w:r>
                    <w:rPr>
                      <w:rFonts w:ascii="Arial" w:cs="Arial" w:eastAsia="Arial" w:hAnsi="Arial"/>
                      <w:color w:val="1F2937"/>
                      <w:sz w:val="19"/>
                      <w:szCs w:val="19"/>
                    </w:rPr>
                    <w:t xml:space="preserve">✓  Use the same color mapping in mega menu, pillar cards, and any pillar references</w:t>
                  </w:r>
                </w:p>
                <w:p>
                  <w:pPr>
                    <w:spacing w:after="40" w:before="40" w:line="260"/>
                  </w:pPr>
                  <w:r>
                    <w:rPr>
                      <w:rFonts w:ascii="Arial" w:cs="Arial" w:eastAsia="Arial" w:hAnsi="Arial"/>
                      <w:color w:val="1F2937"/>
                      <w:sz w:val="19"/>
                      <w:szCs w:val="19"/>
                    </w:rPr>
                    <w:t xml:space="preserve">✓  Keep pillar colors distinct from the primary amber CTA to avoid confusion</w:t>
                  </w:r>
                </w:p>
              </w:tc>
              <w:tc>
                <w:tcPr>
                  <w:tcW w:type="dxa" w:w="44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aps/>
                      <w:color w:val="DC2626"/>
                      <w:sz w:val="17"/>
                      <w:szCs w:val="17"/>
                    </w:rPr>
                    <w:t xml:space="preserve">DON’T</w:t>
                  </w:r>
                </w:p>
                <w:p>
                  <w:pPr>
                    <w:spacing w:after="40" w:before="40" w:line="260"/>
                  </w:pPr>
                  <w:r>
                    <w:rPr>
                      <w:rFonts w:ascii="Arial" w:cs="Arial" w:eastAsia="Arial" w:hAnsi="Arial"/>
                      <w:color w:val="1F2937"/>
                      <w:sz w:val="19"/>
                      <w:szCs w:val="19"/>
                    </w:rPr>
                    <w:t xml:space="preserve">✗  Use pillar colors for non-pillar elements (e.g., blue for a generic info box)</w:t>
                  </w:r>
                </w:p>
                <w:p>
                  <w:pPr>
                    <w:spacing w:after="40" w:before="40" w:line="260"/>
                  </w:pPr>
                  <w:r>
                    <w:rPr>
                      <w:rFonts w:ascii="Arial" w:cs="Arial" w:eastAsia="Arial" w:hAnsi="Arial"/>
                      <w:color w:val="1F2937"/>
                      <w:sz w:val="19"/>
                      <w:szCs w:val="19"/>
                    </w:rPr>
                    <w:t xml:space="preserve">✗  Swap or inconsistently apply colors between homepage and inner pages</w:t>
                  </w:r>
                </w:p>
                <w:p>
                  <w:pPr>
                    <w:spacing w:after="40" w:before="40" w:line="260"/>
                  </w:pPr>
                  <w:r>
                    <w:rPr>
                      <w:rFonts w:ascii="Arial" w:cs="Arial" w:eastAsia="Arial" w:hAnsi="Arial"/>
                      <w:color w:val="1F2937"/>
                      <w:sz w:val="19"/>
                      <w:szCs w:val="19"/>
                    </w:rPr>
                    <w:t xml:space="preserve">✗  Let pillar card styling rely on text labels alone without color reinforcement</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0F4F8" w:val="clear"/>
            <w:tcMar>
              <w:top w:type="dxa" w:w="140"/>
              <w:left w:type="dxa" w:w="200"/>
              <w:bottom w:type="dxa" w:w="100"/>
              <w:right w:type="dxa" w:w="200"/>
            </w:tcMar>
          </w:tcPr>
          <w:p>
            <w:pPr>
              <w:spacing w:after="60"/>
            </w:pPr>
            <w:r>
              <w:rPr>
                <w:rFonts w:ascii="Arial" w:cs="Arial" w:eastAsia="Arial" w:hAnsi="Arial"/>
                <w:b/>
                <w:bCs/>
                <w:caps/>
                <w:color w:val="2563EB"/>
                <w:sz w:val="16"/>
                <w:szCs w:val="16"/>
              </w:rPr>
              <w:t xml:space="preserve">PRINCIPLE 10</w:t>
            </w:r>
          </w:p>
          <w:p>
            <w:pPr>
              <w:spacing w:after="0"/>
            </w:pPr>
            <w:r>
              <w:rPr>
                <w:rFonts w:ascii="Arial" w:cs="Arial" w:eastAsia="Arial" w:hAnsi="Arial"/>
                <w:b/>
                <w:bCs/>
                <w:color w:val="1E3A5F"/>
                <w:sz w:val="24"/>
                <w:szCs w:val="24"/>
              </w:rPr>
              <w:t xml:space="preserve">No Fear-Based Selling</w:t>
            </w:r>
          </w:p>
        </w:tc>
      </w:tr>
      <w:tr>
        <w:tc>
          <w:tcPr>
            <w:tcW w:type="dxa" w:w="9360"/>
            <w:tcBorders>
              <w:top w:val="none" w:color="FFFFFF" w:sz="0"/>
              <w:left w:val="none" w:color="FFFFFF" w:sz="0"/>
              <w:bottom w:val="none" w:color="FFFFFF" w:sz="0"/>
              <w:right w:val="none" w:color="FFFFFF" w:sz="0"/>
            </w:tcBorders>
            <w:tcMar>
              <w:top w:type="dxa" w:w="120"/>
              <w:left w:type="dxa" w:w="200"/>
              <w:bottom w:type="dxa" w:w="120"/>
              <w:right w:type="dxa" w:w="200"/>
            </w:tcMar>
          </w:tcPr>
          <w:p>
            <w:pPr>
              <w:spacing w:after="0" w:before="0" w:line="300"/>
            </w:pPr>
            <w:r>
              <w:rPr>
                <w:rFonts w:ascii="Arial" w:cs="Arial" w:eastAsia="Arial" w:hAnsi="Arial"/>
                <w:color w:val="1F2937"/>
                <w:sz w:val="21"/>
                <w:szCs w:val="21"/>
              </w:rPr>
              <w:t xml:space="preserve">The brand voice is authoritative, educational, transparent, reassuring, and precise. The homepage makes visitors feel informed and confident, not scared into buying. Specific numbers do the persuasion work—$1,275 all-inclusive, 25 years of experience, $525/yr renewal, $2,000+ in included services—not urgency language or threat framing.</w:t>
            </w:r>
          </w:p>
        </w:tc>
      </w:tr>
      <w:tr>
        <w:tc>
          <w:tcPr>
            <w:tcW w:type="dxa" w:w="9360"/>
            <w:tcBorders>
              <w:top w:val="none" w:color="FFFFFF" w:sz="0"/>
              <w:left w:val="none" w:color="FFFFFF" w:sz="0"/>
              <w:bottom w:val="none" w:color="FFFFFF" w:sz="0"/>
              <w:right w:val="none" w:color="FFFFFF" w:sz="0"/>
            </w:tcBorders>
            <w:shd w:fill="EBF2FF" w:val="clear"/>
            <w:tcMar>
              <w:top w:type="dxa" w:w="100"/>
              <w:left w:type="dxa" w:w="200"/>
              <w:bottom w:type="dxa" w:w="100"/>
              <w:right w:type="dxa" w:w="200"/>
            </w:tcMar>
          </w:tcPr>
          <w:p>
            <w:pPr>
              <w:spacing w:after="0" w:before="0" w:line="280"/>
            </w:pPr>
            <w:r>
              <w:rPr>
                <w:rFonts w:ascii="Arial" w:cs="Arial" w:eastAsia="Arial" w:hAnsi="Arial"/>
                <w:b/>
                <w:bCs/>
                <w:color w:val="2563EB"/>
                <w:sz w:val="19"/>
                <w:szCs w:val="19"/>
              </w:rPr>
              <w:t xml:space="preserve">Strategic Rationale: </w:t>
            </w:r>
            <w:r>
              <w:rPr>
                <w:rFonts w:ascii="Arial" w:cs="Arial" w:eastAsia="Arial" w:hAnsi="Arial"/>
                <w:color w:val="1E3A5F"/>
                <w:sz w:val="19"/>
                <w:szCs w:val="19"/>
              </w:rPr>
              <w:t xml:space="preserve">The positioning framework explicitly prohibits fear-based selling. Incorporate123’s target audience is research-oriented professionals with $500K+ in assets—they respond to data and specificity, not emotional pressure. Anderson Advisors already owns the consultation-gated urgency position; competing there is a losing strategy.</w:t>
            </w:r>
          </w:p>
        </w:tc>
      </w:tr>
      <w:tr>
        <w:tc>
          <w:tcPr>
            <w:tcW w:type="dxa" w:w="9360"/>
            <w:tcBorders>
              <w:top w:val="single" w:color="D1D5DB" w:sz="1"/>
              <w:left w:val="none" w:color="FFFFFF" w:sz="0"/>
              <w:bottom w:val="single" w:color="2563EB" w:sz="6"/>
              <w:right w:val="none" w:color="FFFFFF" w:sz="0"/>
            </w:tcBorders>
            <w:tcMar>
              <w:top w:type="dxa" w:w="120"/>
              <w:left w:type="dxa" w:w="200"/>
              <w:bottom w:type="dxa" w:w="14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single" w:color="D1D5DB" w:sz="1"/>
                  </w:tcBorders>
                  <w:tcMar>
                    <w:top w:type="dxa" w:w="0"/>
                    <w:left w:type="dxa" w:w="0"/>
                    <w:bottom w:type="dxa" w:w="0"/>
                    <w:right w:type="dxa" w:w="160"/>
                  </w:tcMar>
                </w:tcPr>
                <w:p>
                  <w:pPr>
                    <w:spacing w:after="60"/>
                  </w:pPr>
                  <w:r>
                    <w:rPr>
                      <w:rFonts w:ascii="Arial" w:cs="Arial" w:eastAsia="Arial" w:hAnsi="Arial"/>
                      <w:b/>
                      <w:bCs/>
                      <w:caps/>
                      <w:color w:val="16A34A"/>
                      <w:sz w:val="17"/>
                      <w:szCs w:val="17"/>
                    </w:rPr>
                    <w:t xml:space="preserve">DO</w:t>
                  </w:r>
                </w:p>
                <w:p>
                  <w:pPr>
                    <w:spacing w:after="40" w:before="40" w:line="260"/>
                  </w:pPr>
                  <w:r>
                    <w:rPr>
                      <w:rFonts w:ascii="Arial" w:cs="Arial" w:eastAsia="Arial" w:hAnsi="Arial"/>
                      <w:color w:val="1F2937"/>
                      <w:sz w:val="19"/>
                      <w:szCs w:val="19"/>
                    </w:rPr>
                    <w:t xml:space="preserve">✓  Use specific dollar figures and timeframes as primary persuasion tools</w:t>
                  </w:r>
                </w:p>
                <w:p>
                  <w:pPr>
                    <w:spacing w:after="40" w:before="40" w:line="260"/>
                  </w:pPr>
                  <w:r>
                    <w:rPr>
                      <w:rFonts w:ascii="Arial" w:cs="Arial" w:eastAsia="Arial" w:hAnsi="Arial"/>
                      <w:color w:val="1F2937"/>
                      <w:sz w:val="19"/>
                      <w:szCs w:val="19"/>
                    </w:rPr>
                    <w:t xml:space="preserve">✓  Frame benefits as outcomes: “your name stays off public records”</w:t>
                  </w:r>
                </w:p>
                <w:p>
                  <w:pPr>
                    <w:spacing w:after="40" w:before="40" w:line="260"/>
                  </w:pPr>
                  <w:r>
                    <w:rPr>
                      <w:rFonts w:ascii="Arial" w:cs="Arial" w:eastAsia="Arial" w:hAnsi="Arial"/>
                      <w:color w:val="1F2937"/>
                      <w:sz w:val="19"/>
                      <w:szCs w:val="19"/>
                    </w:rPr>
                    <w:t xml:space="preserve">✓  Let comparison data speak for itself: “competitors charge $400–$5,000/yr for nominees alone”</w:t>
                  </w:r>
                </w:p>
              </w:tc>
              <w:tc>
                <w:tcPr>
                  <w:tcW w:type="dxa" w:w="44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aps/>
                      <w:color w:val="DC2626"/>
                      <w:sz w:val="17"/>
                      <w:szCs w:val="17"/>
                    </w:rPr>
                    <w:t xml:space="preserve">DON’T</w:t>
                  </w:r>
                </w:p>
                <w:p>
                  <w:pPr>
                    <w:spacing w:after="40" w:before="40" w:line="260"/>
                  </w:pPr>
                  <w:r>
                    <w:rPr>
                      <w:rFonts w:ascii="Arial" w:cs="Arial" w:eastAsia="Arial" w:hAnsi="Arial"/>
                      <w:color w:val="1F2937"/>
                      <w:sz w:val="19"/>
                      <w:szCs w:val="19"/>
                    </w:rPr>
                    <w:t xml:space="preserve">✗  Use “you’ll get sued if you don’t act now” or any threat framing</w:t>
                  </w:r>
                </w:p>
                <w:p>
                  <w:pPr>
                    <w:spacing w:after="40" w:before="40" w:line="260"/>
                  </w:pPr>
                  <w:r>
                    <w:rPr>
                      <w:rFonts w:ascii="Arial" w:cs="Arial" w:eastAsia="Arial" w:hAnsi="Arial"/>
                      <w:color w:val="1F2937"/>
                      <w:sz w:val="19"/>
                      <w:szCs w:val="19"/>
                    </w:rPr>
                    <w:t xml:space="preserve">✗  Include countdown timers, scarcity signals, or false urgency</w:t>
                  </w:r>
                </w:p>
                <w:p>
                  <w:pPr>
                    <w:spacing w:after="40" w:before="40" w:line="260"/>
                  </w:pPr>
                  <w:r>
                    <w:rPr>
                      <w:rFonts w:ascii="Arial" w:cs="Arial" w:eastAsia="Arial" w:hAnsi="Arial"/>
                      <w:color w:val="1F2937"/>
                      <w:sz w:val="19"/>
                      <w:szCs w:val="19"/>
                    </w:rPr>
                    <w:t xml:space="preserve">✗  Write copy that makes visitors feel anxious rather than informed</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0F4F8" w:val="clear"/>
            <w:tcMar>
              <w:top w:type="dxa" w:w="140"/>
              <w:left w:type="dxa" w:w="200"/>
              <w:bottom w:type="dxa" w:w="100"/>
              <w:right w:type="dxa" w:w="200"/>
            </w:tcMar>
          </w:tcPr>
          <w:p>
            <w:pPr>
              <w:spacing w:after="60"/>
            </w:pPr>
            <w:r>
              <w:rPr>
                <w:rFonts w:ascii="Arial" w:cs="Arial" w:eastAsia="Arial" w:hAnsi="Arial"/>
                <w:b/>
                <w:bCs/>
                <w:caps/>
                <w:color w:val="2563EB"/>
                <w:sz w:val="16"/>
                <w:szCs w:val="16"/>
              </w:rPr>
              <w:t xml:space="preserve">PRINCIPLE 11</w:t>
            </w:r>
          </w:p>
          <w:p>
            <w:pPr>
              <w:spacing w:after="0"/>
            </w:pPr>
            <w:r>
              <w:rPr>
                <w:rFonts w:ascii="Arial" w:cs="Arial" w:eastAsia="Arial" w:hAnsi="Arial"/>
                <w:b/>
                <w:bCs/>
                <w:color w:val="1E3A5F"/>
                <w:sz w:val="24"/>
                <w:szCs w:val="24"/>
              </w:rPr>
              <w:t xml:space="preserve">Mobile-First Conversion</w:t>
            </w:r>
          </w:p>
        </w:tc>
      </w:tr>
      <w:tr>
        <w:tc>
          <w:tcPr>
            <w:tcW w:type="dxa" w:w="9360"/>
            <w:tcBorders>
              <w:top w:val="none" w:color="FFFFFF" w:sz="0"/>
              <w:left w:val="none" w:color="FFFFFF" w:sz="0"/>
              <w:bottom w:val="none" w:color="FFFFFF" w:sz="0"/>
              <w:right w:val="none" w:color="FFFFFF" w:sz="0"/>
            </w:tcBorders>
            <w:tcMar>
              <w:top w:type="dxa" w:w="120"/>
              <w:left w:type="dxa" w:w="200"/>
              <w:bottom w:type="dxa" w:w="120"/>
              <w:right w:type="dxa" w:w="200"/>
            </w:tcMar>
          </w:tcPr>
          <w:p>
            <w:pPr>
              <w:spacing w:after="0" w:before="0" w:line="300"/>
            </w:pPr>
            <w:r>
              <w:rPr>
                <w:rFonts w:ascii="Arial" w:cs="Arial" w:eastAsia="Arial" w:hAnsi="Arial"/>
                <w:color w:val="1F2937"/>
                <w:sz w:val="21"/>
                <w:szCs w:val="21"/>
              </w:rPr>
              <w:t xml:space="preserve">The homepage must convert on mobile with the same effectiveness as desktop. This means a sticky bottom CTA bar (primary action + tap-to-call phone icon), a hamburger menu that maintains pillar structure rather than collapsing to an alphabetical list, and Packages and Login visible above the fold in the mobile menu. Everything that works on desktop must work on a phone screen.</w:t>
            </w:r>
          </w:p>
        </w:tc>
      </w:tr>
      <w:tr>
        <w:tc>
          <w:tcPr>
            <w:tcW w:type="dxa" w:w="9360"/>
            <w:tcBorders>
              <w:top w:val="none" w:color="FFFFFF" w:sz="0"/>
              <w:left w:val="none" w:color="FFFFFF" w:sz="0"/>
              <w:bottom w:val="none" w:color="FFFFFF" w:sz="0"/>
              <w:right w:val="none" w:color="FFFFFF" w:sz="0"/>
            </w:tcBorders>
            <w:shd w:fill="EBF2FF" w:val="clear"/>
            <w:tcMar>
              <w:top w:type="dxa" w:w="100"/>
              <w:left w:type="dxa" w:w="200"/>
              <w:bottom w:type="dxa" w:w="100"/>
              <w:right w:type="dxa" w:w="200"/>
            </w:tcMar>
          </w:tcPr>
          <w:p>
            <w:pPr>
              <w:spacing w:after="0" w:before="0" w:line="280"/>
            </w:pPr>
            <w:r>
              <w:rPr>
                <w:rFonts w:ascii="Arial" w:cs="Arial" w:eastAsia="Arial" w:hAnsi="Arial"/>
                <w:b/>
                <w:bCs/>
                <w:color w:val="2563EB"/>
                <w:sz w:val="19"/>
                <w:szCs w:val="19"/>
              </w:rPr>
              <w:t xml:space="preserve">Strategic Rationale: </w:t>
            </w:r>
            <w:r>
              <w:rPr>
                <w:rFonts w:ascii="Arial" w:cs="Arial" w:eastAsia="Arial" w:hAnsi="Arial"/>
                <w:color w:val="1E3A5F"/>
                <w:sz w:val="19"/>
                <w:szCs w:val="19"/>
              </w:rPr>
              <w:t xml:space="preserve">The majority of initial visits to service businesses come from mobile. The SOW specifies responsive layouts for every template. The mobile experience is not an adaptation of desktop—it’s the primary experience for many visitors, and the homepage is the most-visited mobile page.</w:t>
            </w:r>
          </w:p>
        </w:tc>
      </w:tr>
      <w:tr>
        <w:tc>
          <w:tcPr>
            <w:tcW w:type="dxa" w:w="9360"/>
            <w:tcBorders>
              <w:top w:val="single" w:color="D1D5DB" w:sz="1"/>
              <w:left w:val="none" w:color="FFFFFF" w:sz="0"/>
              <w:bottom w:val="single" w:color="2563EB" w:sz="6"/>
              <w:right w:val="none" w:color="FFFFFF" w:sz="0"/>
            </w:tcBorders>
            <w:tcMar>
              <w:top w:type="dxa" w:w="120"/>
              <w:left w:type="dxa" w:w="200"/>
              <w:bottom w:type="dxa" w:w="14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single" w:color="D1D5DB" w:sz="1"/>
                  </w:tcBorders>
                  <w:tcMar>
                    <w:top w:type="dxa" w:w="0"/>
                    <w:left w:type="dxa" w:w="0"/>
                    <w:bottom w:type="dxa" w:w="0"/>
                    <w:right w:type="dxa" w:w="160"/>
                  </w:tcMar>
                </w:tcPr>
                <w:p>
                  <w:pPr>
                    <w:spacing w:after="60"/>
                  </w:pPr>
                  <w:r>
                    <w:rPr>
                      <w:rFonts w:ascii="Arial" w:cs="Arial" w:eastAsia="Arial" w:hAnsi="Arial"/>
                      <w:b/>
                      <w:bCs/>
                      <w:caps/>
                      <w:color w:val="16A34A"/>
                      <w:sz w:val="17"/>
                      <w:szCs w:val="17"/>
                    </w:rPr>
                    <w:t xml:space="preserve">DO</w:t>
                  </w:r>
                </w:p>
                <w:p>
                  <w:pPr>
                    <w:spacing w:after="40" w:before="40" w:line="260"/>
                  </w:pPr>
                  <w:r>
                    <w:rPr>
                      <w:rFonts w:ascii="Arial" w:cs="Arial" w:eastAsia="Arial" w:hAnsi="Arial"/>
                      <w:color w:val="1F2937"/>
                      <w:sz w:val="19"/>
                      <w:szCs w:val="19"/>
                    </w:rPr>
                    <w:t xml:space="preserve">✓  Design the sticky bottom bar as a first-class element, not an afterthought</w:t>
                  </w:r>
                </w:p>
                <w:p>
                  <w:pPr>
                    <w:spacing w:after="40" w:before="40" w:line="260"/>
                  </w:pPr>
                  <w:r>
                    <w:rPr>
                      <w:rFonts w:ascii="Arial" w:cs="Arial" w:eastAsia="Arial" w:hAnsi="Arial"/>
                      <w:color w:val="1F2937"/>
                      <w:sz w:val="19"/>
                      <w:szCs w:val="19"/>
                    </w:rPr>
                    <w:t xml:space="preserve">✓  Structure the mobile menu around pillars with Packages and Login prominent</w:t>
                  </w:r>
                </w:p>
                <w:p>
                  <w:pPr>
                    <w:spacing w:after="40" w:before="40" w:line="260"/>
                  </w:pPr>
                  <w:r>
                    <w:rPr>
                      <w:rFonts w:ascii="Arial" w:cs="Arial" w:eastAsia="Arial" w:hAnsi="Arial"/>
                      <w:color w:val="1F2937"/>
                      <w:sz w:val="19"/>
                      <w:szCs w:val="19"/>
                    </w:rPr>
                    <w:t xml:space="preserve">✓  Test touch targets, scroll performance, and CTA visibility on real devices</w:t>
                  </w:r>
                </w:p>
              </w:tc>
              <w:tc>
                <w:tcPr>
                  <w:tcW w:type="dxa" w:w="44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aps/>
                      <w:color w:val="DC2626"/>
                      <w:sz w:val="17"/>
                      <w:szCs w:val="17"/>
                    </w:rPr>
                    <w:t xml:space="preserve">DON’T</w:t>
                  </w:r>
                </w:p>
                <w:p>
                  <w:pPr>
                    <w:spacing w:after="40" w:before="40" w:line="260"/>
                  </w:pPr>
                  <w:r>
                    <w:rPr>
                      <w:rFonts w:ascii="Arial" w:cs="Arial" w:eastAsia="Arial" w:hAnsi="Arial"/>
                      <w:color w:val="1F2937"/>
                      <w:sz w:val="19"/>
                      <w:szCs w:val="19"/>
                    </w:rPr>
                    <w:t xml:space="preserve">✗  Flatten the mobile menu into an alphabetical list of all pages</w:t>
                  </w:r>
                </w:p>
                <w:p>
                  <w:pPr>
                    <w:spacing w:after="40" w:before="40" w:line="260"/>
                  </w:pPr>
                  <w:r>
                    <w:rPr>
                      <w:rFonts w:ascii="Arial" w:cs="Arial" w:eastAsia="Arial" w:hAnsi="Arial"/>
                      <w:color w:val="1F2937"/>
                      <w:sz w:val="19"/>
                      <w:szCs w:val="19"/>
                    </w:rPr>
                    <w:t xml:space="preserve">✗  Hide the phone number behind a menu tap—keep it one tap away</w:t>
                  </w:r>
                </w:p>
                <w:p>
                  <w:pPr>
                    <w:spacing w:after="40" w:before="40" w:line="260"/>
                  </w:pPr>
                  <w:r>
                    <w:rPr>
                      <w:rFonts w:ascii="Arial" w:cs="Arial" w:eastAsia="Arial" w:hAnsi="Arial"/>
                      <w:color w:val="1F2937"/>
                      <w:sz w:val="19"/>
                      <w:szCs w:val="19"/>
                    </w:rPr>
                    <w:t xml:space="preserve">✗  Let package comparison grids break on narrow viewports without a mobile adaptation</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0F4F8" w:val="clear"/>
            <w:tcMar>
              <w:top w:type="dxa" w:w="140"/>
              <w:left w:type="dxa" w:w="200"/>
              <w:bottom w:type="dxa" w:w="100"/>
              <w:right w:type="dxa" w:w="200"/>
            </w:tcMar>
          </w:tcPr>
          <w:p>
            <w:pPr>
              <w:spacing w:after="60"/>
            </w:pPr>
            <w:r>
              <w:rPr>
                <w:rFonts w:ascii="Arial" w:cs="Arial" w:eastAsia="Arial" w:hAnsi="Arial"/>
                <w:b/>
                <w:bCs/>
                <w:caps/>
                <w:color w:val="2563EB"/>
                <w:sz w:val="16"/>
                <w:szCs w:val="16"/>
              </w:rPr>
              <w:t xml:space="preserve">PRINCIPLE 12</w:t>
            </w:r>
          </w:p>
          <w:p>
            <w:pPr>
              <w:spacing w:after="0"/>
            </w:pPr>
            <w:r>
              <w:rPr>
                <w:rFonts w:ascii="Arial" w:cs="Arial" w:eastAsia="Arial" w:hAnsi="Arial"/>
                <w:b/>
                <w:bCs/>
                <w:color w:val="1E3A5F"/>
                <w:sz w:val="24"/>
                <w:szCs w:val="24"/>
              </w:rPr>
              <w:t xml:space="preserve">Premium Positioning, Never Price Competition</w:t>
            </w:r>
          </w:p>
        </w:tc>
      </w:tr>
      <w:tr>
        <w:tc>
          <w:tcPr>
            <w:tcW w:type="dxa" w:w="9360"/>
            <w:tcBorders>
              <w:top w:val="none" w:color="FFFFFF" w:sz="0"/>
              <w:left w:val="none" w:color="FFFFFF" w:sz="0"/>
              <w:bottom w:val="none" w:color="FFFFFF" w:sz="0"/>
              <w:right w:val="none" w:color="FFFFFF" w:sz="0"/>
            </w:tcBorders>
            <w:tcMar>
              <w:top w:type="dxa" w:w="120"/>
              <w:left w:type="dxa" w:w="200"/>
              <w:bottom w:type="dxa" w:w="120"/>
              <w:right w:type="dxa" w:w="200"/>
            </w:tcMar>
          </w:tcPr>
          <w:p>
            <w:pPr>
              <w:spacing w:after="0" w:before="0" w:line="300"/>
            </w:pPr>
            <w:r>
              <w:rPr>
                <w:rFonts w:ascii="Arial" w:cs="Arial" w:eastAsia="Arial" w:hAnsi="Arial"/>
                <w:color w:val="1F2937"/>
                <w:sz w:val="21"/>
                <w:szCs w:val="21"/>
              </w:rPr>
              <w:t xml:space="preserve">Incorporate123 occupies the premium self-service quadrant that no competitor fills. The homepage must never say “affordable” or “competitive pricing.” Instead, it communicates included value: year-round nominees (competitors charge $400–$5,000/yr for this alone), offshore records storage, all state fees included. The price is justified, not apologized for.</w:t>
            </w:r>
          </w:p>
        </w:tc>
      </w:tr>
      <w:tr>
        <w:tc>
          <w:tcPr>
            <w:tcW w:type="dxa" w:w="9360"/>
            <w:tcBorders>
              <w:top w:val="none" w:color="FFFFFF" w:sz="0"/>
              <w:left w:val="none" w:color="FFFFFF" w:sz="0"/>
              <w:bottom w:val="none" w:color="FFFFFF" w:sz="0"/>
              <w:right w:val="none" w:color="FFFFFF" w:sz="0"/>
            </w:tcBorders>
            <w:shd w:fill="EBF2FF" w:val="clear"/>
            <w:tcMar>
              <w:top w:type="dxa" w:w="100"/>
              <w:left w:type="dxa" w:w="200"/>
              <w:bottom w:type="dxa" w:w="100"/>
              <w:right w:type="dxa" w:w="200"/>
            </w:tcMar>
          </w:tcPr>
          <w:p>
            <w:pPr>
              <w:spacing w:after="0" w:before="0" w:line="280"/>
            </w:pPr>
            <w:r>
              <w:rPr>
                <w:rFonts w:ascii="Arial" w:cs="Arial" w:eastAsia="Arial" w:hAnsi="Arial"/>
                <w:b/>
                <w:bCs/>
                <w:color w:val="2563EB"/>
                <w:sz w:val="19"/>
                <w:szCs w:val="19"/>
              </w:rPr>
              <w:t xml:space="preserve">Strategic Rationale: </w:t>
            </w:r>
            <w:r>
              <w:rPr>
                <w:rFonts w:ascii="Arial" w:cs="Arial" w:eastAsia="Arial" w:hAnsi="Arial"/>
                <w:color w:val="1E3A5F"/>
                <w:sz w:val="19"/>
                <w:szCs w:val="19"/>
              </w:rPr>
              <w:t xml:space="preserve">Budget providers ($0 formation) dominate the price-sensitive market with $50M+ in ad spend. Competing on price is mathematically impossible. The white-space opportunity is premium + self-service—the homepage must make visitors understand why $1,275 is less than what competitors charge for a fraction of the included services.</w:t>
            </w:r>
          </w:p>
        </w:tc>
      </w:tr>
      <w:tr>
        <w:tc>
          <w:tcPr>
            <w:tcW w:type="dxa" w:w="9360"/>
            <w:tcBorders>
              <w:top w:val="single" w:color="D1D5DB" w:sz="1"/>
              <w:left w:val="none" w:color="FFFFFF" w:sz="0"/>
              <w:bottom w:val="single" w:color="2563EB" w:sz="6"/>
              <w:right w:val="none" w:color="FFFFFF" w:sz="0"/>
            </w:tcBorders>
            <w:tcMar>
              <w:top w:type="dxa" w:w="120"/>
              <w:left w:type="dxa" w:w="200"/>
              <w:bottom w:type="dxa" w:w="14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single" w:color="D1D5DB" w:sz="1"/>
                  </w:tcBorders>
                  <w:tcMar>
                    <w:top w:type="dxa" w:w="0"/>
                    <w:left w:type="dxa" w:w="0"/>
                    <w:bottom w:type="dxa" w:w="0"/>
                    <w:right w:type="dxa" w:w="160"/>
                  </w:tcMar>
                </w:tcPr>
                <w:p>
                  <w:pPr>
                    <w:spacing w:after="60"/>
                  </w:pPr>
                  <w:r>
                    <w:rPr>
                      <w:rFonts w:ascii="Arial" w:cs="Arial" w:eastAsia="Arial" w:hAnsi="Arial"/>
                      <w:b/>
                      <w:bCs/>
                      <w:caps/>
                      <w:color w:val="16A34A"/>
                      <w:sz w:val="17"/>
                      <w:szCs w:val="17"/>
                    </w:rPr>
                    <w:t xml:space="preserve">DO</w:t>
                  </w:r>
                </w:p>
                <w:p>
                  <w:pPr>
                    <w:spacing w:after="40" w:before="40" w:line="260"/>
                  </w:pPr>
                  <w:r>
                    <w:rPr>
                      <w:rFonts w:ascii="Arial" w:cs="Arial" w:eastAsia="Arial" w:hAnsi="Arial"/>
                      <w:color w:val="1F2937"/>
                      <w:sz w:val="19"/>
                      <w:szCs w:val="19"/>
                    </w:rPr>
                    <w:t xml:space="preserve">✓  Frame pricing as “all-inclusive” with explicit value breakdowns</w:t>
                  </w:r>
                </w:p>
                <w:p>
                  <w:pPr>
                    <w:spacing w:after="40" w:before="40" w:line="260"/>
                  </w:pPr>
                  <w:r>
                    <w:rPr>
                      <w:rFonts w:ascii="Arial" w:cs="Arial" w:eastAsia="Arial" w:hAnsi="Arial"/>
                      <w:color w:val="1F2937"/>
                      <w:sz w:val="19"/>
                      <w:szCs w:val="19"/>
                    </w:rPr>
                    <w:t xml:space="preserve">✓  Include comparative messaging: “Includes services competitors charge $2,000+/yr for”</w:t>
                  </w:r>
                </w:p>
                <w:p>
                  <w:pPr>
                    <w:spacing w:after="40" w:before="40" w:line="260"/>
                  </w:pPr>
                  <w:r>
                    <w:rPr>
                      <w:rFonts w:ascii="Arial" w:cs="Arial" w:eastAsia="Arial" w:hAnsi="Arial"/>
                      <w:color w:val="1F2937"/>
                      <w:sz w:val="19"/>
                      <w:szCs w:val="19"/>
                    </w:rPr>
                    <w:t xml:space="preserve">✓  Position the 25-year track record and included services as the price justification</w:t>
                  </w:r>
                </w:p>
              </w:tc>
              <w:tc>
                <w:tcPr>
                  <w:tcW w:type="dxa" w:w="44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aps/>
                      <w:color w:val="DC2626"/>
                      <w:sz w:val="17"/>
                      <w:szCs w:val="17"/>
                    </w:rPr>
                    <w:t xml:space="preserve">DON’T</w:t>
                  </w:r>
                </w:p>
                <w:p>
                  <w:pPr>
                    <w:spacing w:after="40" w:before="40" w:line="260"/>
                  </w:pPr>
                  <w:r>
                    <w:rPr>
                      <w:rFonts w:ascii="Arial" w:cs="Arial" w:eastAsia="Arial" w:hAnsi="Arial"/>
                      <w:color w:val="1F2937"/>
                      <w:sz w:val="19"/>
                      <w:szCs w:val="19"/>
                    </w:rPr>
                    <w:t xml:space="preserve">✗  Use the words “affordable,” “cheap,” “budget,” or “competitive pricing”</w:t>
                  </w:r>
                </w:p>
                <w:p>
                  <w:pPr>
                    <w:spacing w:after="40" w:before="40" w:line="260"/>
                  </w:pPr>
                  <w:r>
                    <w:rPr>
                      <w:rFonts w:ascii="Arial" w:cs="Arial" w:eastAsia="Arial" w:hAnsi="Arial"/>
                      <w:color w:val="1F2937"/>
                      <w:sz w:val="19"/>
                      <w:szCs w:val="19"/>
                    </w:rPr>
                    <w:t xml:space="preserve">✗  Apologize for or hedge around the premium price point</w:t>
                  </w:r>
                </w:p>
                <w:p>
                  <w:pPr>
                    <w:spacing w:after="40" w:before="40" w:line="260"/>
                  </w:pPr>
                  <w:r>
                    <w:rPr>
                      <w:rFonts w:ascii="Arial" w:cs="Arial" w:eastAsia="Arial" w:hAnsi="Arial"/>
                      <w:color w:val="1F2937"/>
                      <w:sz w:val="19"/>
                      <w:szCs w:val="19"/>
                    </w:rPr>
                    <w:t xml:space="preserve">✗  Lead with price before establishing the value of what’s included</w:t>
                  </w:r>
                </w:p>
              </w:tc>
            </w:tr>
          </w:tbl>
          <w:p/>
        </w:tc>
      </w:tr>
    </w:tbl>
    <w:p>
      <w:r>
        <w:br w:type="page"/>
      </w:r>
    </w:p>
    <w:p>
      <w:pPr>
        <w:pStyle w:val="Heading1"/>
        <w:pBdr>
          <w:bottom w:val="single" w:color="2563EB" w:sz="4" w:space="8"/>
        </w:pBdr>
        <w:spacing w:after="200" w:before="400"/>
      </w:pPr>
      <w:r>
        <w:rPr>
          <w:rFonts w:ascii="Arial" w:cs="Arial" w:eastAsia="Arial" w:hAnsi="Arial"/>
          <w:b/>
          <w:bCs/>
          <w:color w:val="1E3A5F"/>
          <w:sz w:val="28"/>
          <w:szCs w:val="28"/>
        </w:rPr>
        <w:t xml:space="preserve">Application Checklist</w:t>
      </w:r>
    </w:p>
    <w:p>
      <w:pPr>
        <w:spacing w:after="120" w:before="80" w:line="300"/>
      </w:pPr>
      <w:r>
        <w:rPr>
          <w:rFonts w:ascii="Arial" w:cs="Arial" w:eastAsia="Arial" w:hAnsi="Arial"/>
          <w:color w:val="1F2937"/>
          <w:sz w:val="21"/>
          <w:szCs w:val="21"/>
        </w:rPr>
        <w:t xml:space="preserve">Use this checklist during wireframe reviews, prototype reviews, and visual design reviews to verify each homepage section complies with the governing principles.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560"/>
        <w:gridCol w:w="60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Verification Criteria</w:t>
            </w:r>
          </w:p>
        </w:tc>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Hero Section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line="260"/>
            </w:pPr>
            <w:r>
              <w:rPr>
                <w:rFonts w:ascii="Arial" w:cs="Arial" w:eastAsia="Arial" w:hAnsi="Arial"/>
                <w:color w:val="1F2937"/>
                <w:sz w:val="19"/>
                <w:szCs w:val="19"/>
              </w:rPr>
              <w:t xml:space="preserve">Intent-first headline (not geography). Privacy leads. CTA above fold. Dual path: learn more + buy now. Consultation safety net visible. No fear language.</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1E3A5F"/>
                <w:sz w:val="19"/>
                <w:szCs w:val="19"/>
              </w:rPr>
              <w:t xml:space="preserve">Pillar Navigation</w:t>
            </w:r>
          </w:p>
        </w:tc>
        <w:tc>
          <w:tcPr>
            <w:tcW w:type="dxa" w:w="6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spacing w:line="260"/>
            </w:pPr>
            <w:r>
              <w:rPr>
                <w:rFonts w:ascii="Arial" w:cs="Arial" w:eastAsia="Arial" w:hAnsi="Arial"/>
                <w:color w:val="1F2937"/>
                <w:sz w:val="19"/>
                <w:szCs w:val="19"/>
              </w:rPr>
              <w:t xml:space="preserve">Privacy card first. Correct pillar colors applied (blue/green/amber/purple). One primary CTA per card. Goal-oriented labels, not entity-type labels.</w:t>
            </w:r>
          </w:p>
        </w:tc>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Package Strip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line="260"/>
            </w:pPr>
            <w:r>
              <w:rPr>
                <w:rFonts w:ascii="Arial" w:cs="Arial" w:eastAsia="Arial" w:hAnsi="Arial"/>
                <w:color w:val="1F2937"/>
                <w:sz w:val="19"/>
                <w:szCs w:val="19"/>
              </w:rPr>
              <w:t xml:space="preserve">Gold highlighted as Most Popular. Renewal rate shown with formation price. All-inclusive language. No “starting at.” Bronze subordinate.</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1E3A5F"/>
                <w:sz w:val="19"/>
                <w:szCs w:val="19"/>
              </w:rPr>
              <w:t xml:space="preserve">Differentiators</w:t>
            </w:r>
          </w:p>
        </w:tc>
        <w:tc>
          <w:tcPr>
            <w:tcW w:type="dxa" w:w="6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spacing w:line="260"/>
            </w:pPr>
            <w:r>
              <w:rPr>
                <w:rFonts w:ascii="Arial" w:cs="Arial" w:eastAsia="Arial" w:hAnsi="Arial"/>
                <w:color w:val="1F2937"/>
                <w:sz w:val="19"/>
                <w:szCs w:val="19"/>
              </w:rPr>
              <w:t xml:space="preserve">Year-round nominees emphasized. Specific numbers used ($1,275, 25 years, $525/yr). Value comparison to competitors. No “affordable” or fear language.</w:t>
            </w:r>
          </w:p>
        </w:tc>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Trust Signals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line="260"/>
            </w:pPr>
            <w:r>
              <w:rPr>
                <w:rFonts w:ascii="Arial" w:cs="Arial" w:eastAsia="Arial" w:hAnsi="Arial"/>
                <w:color w:val="1F2937"/>
                <w:sz w:val="19"/>
                <w:szCs w:val="19"/>
              </w:rPr>
              <w:t xml:space="preserve">All six signals present: 25 years, Reno office, founder, guarantee, crypto, phone. Phone number clickable. Designed to scale as reviews accumulate.</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1E3A5F"/>
                <w:sz w:val="19"/>
                <w:szCs w:val="19"/>
              </w:rPr>
              <w:t xml:space="preserve">Testimonials</w:t>
            </w:r>
          </w:p>
        </w:tc>
        <w:tc>
          <w:tcPr>
            <w:tcW w:type="dxa" w:w="6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spacing w:line="260"/>
            </w:pPr>
            <w:r>
              <w:rPr>
                <w:rFonts w:ascii="Arial" w:cs="Arial" w:eastAsia="Arial" w:hAnsi="Arial"/>
                <w:color w:val="1F2937"/>
                <w:sz w:val="19"/>
                <w:szCs w:val="19"/>
              </w:rPr>
              <w:t xml:space="preserve">Scales from 2–3 quotes to full carousel. No stock people imagery. Anonymized appropriately for privacy positioning.</w:t>
            </w:r>
          </w:p>
        </w:tc>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Mobile Layout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line="260"/>
            </w:pPr>
            <w:r>
              <w:rPr>
                <w:rFonts w:ascii="Arial" w:cs="Arial" w:eastAsia="Arial" w:hAnsi="Arial"/>
                <w:color w:val="1F2937"/>
                <w:sz w:val="19"/>
                <w:szCs w:val="19"/>
              </w:rPr>
              <w:t xml:space="preserve">Sticky bottom CTA bar with primary action + phone. Pillar-structured hamburger menu. Packages and Login above fold in mobile menu. Touch targets tested.</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1E3A5F"/>
                <w:sz w:val="19"/>
                <w:szCs w:val="19"/>
              </w:rPr>
              <w:t xml:space="preserve">CTA Compliance</w:t>
            </w:r>
          </w:p>
        </w:tc>
        <w:tc>
          <w:tcPr>
            <w:tcW w:type="dxa" w:w="6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spacing w:line="260"/>
            </w:pPr>
            <w:r>
              <w:rPr>
                <w:rFonts w:ascii="Arial" w:cs="Arial" w:eastAsia="Arial" w:hAnsi="Arial"/>
                <w:color w:val="1F2937"/>
                <w:sz w:val="19"/>
                <w:szCs w:val="19"/>
              </w:rPr>
              <w:t xml:space="preserve">One primary (amber) + one secondary (ghost) per section. Consultation link near every self-service CTA. CTA repeats after content and before footer.</w:t>
            </w:r>
          </w:p>
        </w:tc>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r>
    </w:tbl>
    <w:p>
      <w:pPr>
        <w:spacing w:after="0" w:before="300"/>
      </w:pPr>
    </w:p>
    <w:p>
      <w:pPr>
        <w:pStyle w:val="Heading2"/>
        <w:spacing w:after="160" w:before="320"/>
      </w:pPr>
      <w:r>
        <w:rPr>
          <w:rFonts w:ascii="Arial" w:cs="Arial" w:eastAsia="Arial" w:hAnsi="Arial"/>
          <w:b/>
          <w:bCs/>
          <w:color w:val="1E3A5F"/>
          <w:sz w:val="24"/>
          <w:szCs w:val="24"/>
        </w:rPr>
        <w:t xml:space="preserve">Source Documents</w:t>
      </w:r>
    </w:p>
    <w:p>
      <w:pPr>
        <w:spacing w:after="120" w:before="80" w:line="300"/>
      </w:pPr>
      <w:r>
        <w:rPr>
          <w:rFonts w:ascii="Arial" w:cs="Arial" w:eastAsia="Arial" w:hAnsi="Arial"/>
          <w:color w:val="1F2937"/>
          <w:sz w:val="21"/>
          <w:szCs w:val="21"/>
        </w:rPr>
        <w:t xml:space="preserve">These principles are derived from the following approved Phase 1 and Phase 2 deliverables. In case of conflict between this document and a source document, consult the source document for the binding strategic intent, then update this principles document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It Governs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Positioning Framework</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Core positioning, messaging hierarchy, differentiators, pricing strategy, trust architecture</w:t>
            </w:r>
          </w:p>
        </w:tc>
      </w:tr>
      <w:tr>
        <w:tc>
          <w:tcPr>
            <w:tcW w:type="dxa" w:w="30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b/>
                <w:bCs/>
                <w:color w:val="1E3A5F"/>
                <w:sz w:val="19"/>
                <w:szCs w:val="19"/>
              </w:rPr>
              <w:t xml:space="preserve">Brand Guide v2</w:t>
            </w:r>
          </w:p>
        </w:tc>
        <w:tc>
          <w:tcPr>
            <w:tcW w:type="dxa" w:w="636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color w:val="1F2937"/>
                <w:sz w:val="19"/>
                <w:szCs w:val="19"/>
              </w:rPr>
              <w:t xml:space="preserve">Voice and tone rules, CTA hierarchy, color system, typography, imagery guidelines, content patterns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User Journey Mapping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Five persona journeys, CTA placement rules, cross-pillar navigation, stage-skipping requirements</w:t>
            </w:r>
          </w:p>
        </w:tc>
      </w:tr>
      <w:tr>
        <w:tc>
          <w:tcPr>
            <w:tcW w:type="dxa" w:w="30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b/>
                <w:bCs/>
                <w:color w:val="1E3A5F"/>
                <w:sz w:val="19"/>
                <w:szCs w:val="19"/>
              </w:rPr>
              <w:t xml:space="preserve">Validated Site Architecture</w:t>
            </w:r>
          </w:p>
        </w:tc>
        <w:tc>
          <w:tcPr>
            <w:tcW w:type="dxa" w:w="636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color w:val="1F2937"/>
                <w:sz w:val="19"/>
                <w:szCs w:val="19"/>
              </w:rPr>
              <w:t xml:space="preserve">71-page structure, pillar/cluster model, navigation hierarchy, URL strategy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Phase 2 UX Design Scope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Prototype specifications, build order, conversion path validation, design system architecture</w:t>
            </w:r>
          </w:p>
        </w:tc>
      </w:tr>
      <w:tr>
        <w:tc>
          <w:tcPr>
            <w:tcW w:type="dxa" w:w="300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b/>
                <w:bCs/>
                <w:color w:val="1E3A5F"/>
                <w:sz w:val="19"/>
                <w:szCs w:val="19"/>
              </w:rPr>
              <w:t xml:space="preserve">SOW (Detailed Final)</w:t>
            </w:r>
          </w:p>
        </w:tc>
        <w:tc>
          <w:tcPr>
            <w:tcW w:type="dxa" w:w="6360"/>
            <w:tcBorders>
              <w:top w:val="single" w:color="D1D5DB" w:sz="1"/>
              <w:left w:val="single" w:color="D1D5DB" w:sz="1"/>
              <w:bottom w:val="single" w:color="D1D5DB" w:sz="1"/>
              <w:right w:val="single" w:color="D1D5DB" w:sz="1"/>
            </w:tcBorders>
            <w:shd w:fill="F0F4F8" w:val="clear"/>
            <w:tcMar>
              <w:top w:type="dxa" w:w="60"/>
              <w:left w:type="dxa" w:w="120"/>
              <w:bottom w:type="dxa" w:w="60"/>
              <w:right w:type="dxa" w:w="120"/>
            </w:tcMar>
          </w:tcPr>
          <w:p>
            <w:r>
              <w:rPr>
                <w:rFonts w:ascii="Arial" w:cs="Arial" w:eastAsia="Arial" w:hAnsi="Arial"/>
                <w:color w:val="1F2937"/>
                <w:sz w:val="19"/>
                <w:szCs w:val="19"/>
              </w:rPr>
              <w:t xml:space="preserve">Template complexity, component list, deliverable specifications, review cadence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3A5F"/>
                <w:sz w:val="19"/>
                <w:szCs w:val="19"/>
              </w:rPr>
              <w:t xml:space="preserve">Client Discovery Sessions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David’s priorities (privacy + minimum compliance), terminology preferences, competitive context</w:t>
            </w:r>
          </w:p>
        </w:tc>
      </w:tr>
    </w:tbl>
    <w:p>
      <w:pPr>
        <w:spacing w:after="0" w:before="400"/>
      </w:pPr>
    </w:p>
    <w:p>
      <w:pPr>
        <w:pBdr>
          <w:top w:val="single" w:color="D1D5DB" w:sz="2" w:space="12"/>
        </w:pBdr>
        <w:spacing w:before="200"/>
        <w:jc w:val="center"/>
      </w:pPr>
      <w:r>
        <w:rPr>
          <w:rFonts w:ascii="Arial" w:cs="Arial" w:eastAsia="Arial" w:hAnsi="Arial"/>
          <w:color w:val="6B7280"/>
          <w:sz w:val="18"/>
          <w:szCs w:val="18"/>
        </w:rPr>
        <w:t xml:space="preserve">Confidential — BIT Studios × Incorporate123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tabs>
        <w:tab w:val="right" w:pos="9026"/>
      </w:tabs>
    </w:pPr>
    <w:r>
      <w:rPr>
        <w:rFonts w:ascii="Arial" w:cs="Arial" w:eastAsia="Arial" w:hAnsi="Arial"/>
        <w:color w:val="6B7280"/>
        <w:sz w:val="16"/>
        <w:szCs w:val="16"/>
      </w:rPr>
      <w:t xml:space="preserve">Confidential — BIT Studios</w:t>
    </w:r>
    <w:r>
      <w:rPr>
        <w:rFonts w:ascii="Arial" w:cs="Arial" w:eastAsia="Arial" w:hAnsi="Arial"/>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pPr>
    <w:r>
      <w:rPr>
        <w:rFonts w:ascii="Arial" w:cs="Arial" w:eastAsia="Arial" w:hAnsi="Arial"/>
        <w:color w:val="6B7280"/>
        <w:sz w:val="16"/>
        <w:szCs w:val="16"/>
      </w:rPr>
      <w:t xml:space="preserve">Incorporate123 • Homepage Design Principles</w:t>
    </w:r>
    <w:r>
      <w:rPr>
        <w:rFonts w:ascii="Arial" w:cs="Arial" w:eastAsia="Arial" w:hAnsi="Arial"/>
      </w:rPr>
      <w:t xml:space="preserve">	</w:t>
    </w:r>
    <w:r>
      <w:rPr>
        <w:rFonts w:ascii="Arial" w:cs="Arial" w:eastAsia="Arial" w:hAnsi="Arial"/>
        <w:color w:val="6B7280"/>
        <w:sz w:val="16"/>
        <w:szCs w:val="16"/>
      </w:rPr>
      <w:t xml:space="preserve">Phase 2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28"/>
      <w:szCs w:val="28"/>
    </w:rPr>
  </w:style>
  <w:style w:type="paragraph" w:styleId="Heading2">
    <w:name w:val="Heading 2"/>
    <w:basedOn w:val="Normal"/>
    <w:next w:val="Normal"/>
    <w:qFormat/>
    <w:pPr>
      <w:spacing w:after="160" w:before="32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2026-03-16T00:50:15.966Z</dcterms:created>
  <dcterms:modified xsi:type="dcterms:W3CDTF">2026-03-16T00:50:15.967Z</dcterms:modified>
</cp:coreProperties>
</file>

<file path=docProps/custom.xml><?xml version="1.0" encoding="utf-8"?>
<Properties xmlns="http://schemas.openxmlformats.org/officeDocument/2006/custom-properties" xmlns:vt="http://schemas.openxmlformats.org/officeDocument/2006/docPropsVTypes"/>
</file>