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3A5C"/>
          <w:sz w:val="44"/>
          <w:szCs w:val="44"/>
        </w:rPr>
        <w:t xml:space="preserve">INCORPORATE123</w:t>
      </w:r>
    </w:p>
    <w:p>
      <w:pPr>
        <w:spacing w:after="20"/>
      </w:pPr>
      <w:r>
        <w:rPr>
          <w:rFonts w:ascii="Arial" w:cs="Arial" w:eastAsia="Arial" w:hAnsi="Arial"/>
          <w:color w:val="2E75B6"/>
          <w:sz w:val="28"/>
          <w:szCs w:val="28"/>
        </w:rPr>
        <w:t xml:space="preserve">Executive Summary — Client Discovery &amp; Strategy Approval</w:t>
      </w:r>
    </w:p>
    <w:p>
      <w:pPr>
        <w:pBdr>
          <w:bottom w:val="single" w:color="1B3A5C" w:sz="6" w:space="8"/>
        </w:pBdr>
        <w:spacing w:after="240"/>
      </w:pPr>
      <w:r>
        <w:rPr>
          <w:rFonts w:ascii="Arial" w:cs="Arial" w:eastAsia="Arial" w:hAnsi="Arial"/>
          <w:color w:val="777777"/>
          <w:sz w:val="18"/>
          <w:szCs w:val="18"/>
        </w:rPr>
        <w:t xml:space="preserve">Prepared by BIT Studios  |  February 2026  |  Based on client conversations Dec 2025 – Feb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 a Glance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David B. — Owner, Incorporate123.co (25 years in business, HK corp)</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Project</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website redesign: geography-first → intent-first architecture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Strategy Approved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February 15, 2026 — David confirmed: "all looks good and I am ready to proceed"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33333"/>
                <w:sz w:val="20"/>
                <w:szCs w:val="20"/>
              </w:rPr>
              <w:t xml:space="preserve">Next Step</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SOW signed → Phase 1 (Discovery &amp; Strategy) kicks off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Core Message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"Privacy, Asset Protection &amp; Business Formation Specialists" — not a Nevada incorporation company</w:t>
            </w:r>
          </w:p>
        </w:tc>
      </w:tr>
    </w:tbl>
    <w:p>
      <w:pPr>
        <w:spacing w:after="60"/>
      </w:pPr>
    </w:p>
    <w:p>
      <w:pPr>
        <w:pStyle w:val="Heading1"/>
      </w:pPr>
      <w:r>
        <w:t xml:space="preserve">Project Background</w:t>
      </w:r>
    </w:p>
    <w:p>
      <w:pPr>
        <w:spacing w:after="120"/>
      </w:pPr>
      <w:r>
        <w:rPr>
          <w:rFonts w:ascii="Arial" w:cs="Arial" w:eastAsia="Arial" w:hAnsi="Arial"/>
          <w:b w:val="false"/>
          <w:bCs w:val="false"/>
          <w:i w:val="false"/>
          <w:iCs w:val="false"/>
          <w:color w:val="333333"/>
          <w:sz w:val="20"/>
          <w:szCs w:val="20"/>
        </w:rPr>
        <w:t xml:space="preserve">David initiated the project on December 1, 2025, stating the incorporate123.co website "needs a MAKE OVER really badly" and that driving traffic is the next priority. Over December 1–5, the BIT Studios team (Jeffery Thompson, Alex, Irish) conducted extensive discovery conversations with David covering strategic positioning, service architecture, competitive landscape, and technical requirements.</w:t>
      </w:r>
    </w:p>
    <w:p>
      <w:pPr>
        <w:spacing w:after="120"/>
      </w:pPr>
      <w:r>
        <w:rPr>
          <w:rFonts w:ascii="Arial" w:cs="Arial" w:eastAsia="Arial" w:hAnsi="Arial"/>
          <w:b w:val="false"/>
          <w:bCs w:val="false"/>
          <w:i w:val="false"/>
          <w:iCs w:val="false"/>
          <w:color w:val="333333"/>
          <w:sz w:val="20"/>
          <w:szCs w:val="20"/>
        </w:rPr>
        <w:t xml:space="preserve">A high-level strategy document was shared on December 5, 2025. After a period of review, David approved the strategy on February 15, 2026 and confirmed readiness to proceed. The SOW was subsequently developed and delivered.</w:t>
      </w:r>
    </w:p>
    <w:p>
      <w:pPr>
        <w:pStyle w:val="Heading1"/>
      </w:pPr>
      <w:r>
        <w:t xml:space="preserve">The Strategic Shift</w:t>
      </w:r>
    </w:p>
    <w:p>
      <w:pPr>
        <w:spacing w:after="120"/>
      </w:pPr>
      <w:r>
        <w:rPr>
          <w:rFonts w:ascii="Arial" w:cs="Arial" w:eastAsia="Arial" w:hAnsi="Arial"/>
          <w:b w:val="false"/>
          <w:bCs w:val="false"/>
          <w:i w:val="false"/>
          <w:iCs w:val="false"/>
          <w:color w:val="333333"/>
          <w:sz w:val="20"/>
          <w:szCs w:val="20"/>
        </w:rPr>
        <w:t xml:space="preserve">The website will be transformed from a geography-first model (organized by state: Nevada, Wyoming) to an intent-first model organized around what customers are actually searching for. This aligns the site with how David’s prospects actually behave — they come looking for privacy and protection, not for a specific state.</w:t>
      </w:r>
    </w:p>
    <w:p>
      <w:pPr>
        <w:pStyle w:val="Heading2"/>
      </w:pPr>
      <w:r>
        <w:t xml:space="preserve">Four Content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Business 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Business Privacy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Anonymous LLCs, Nominee Services, CA/FL Private Inc.</w:t>
            </w:r>
          </w:p>
        </w:tc>
        <w:tc>
          <w:tcPr>
            <w:tcW w:type="dxa" w:w="3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PRIMARY — #1 selling point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Asset Protection</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WY Holding LLC, NV structures, Charging Order Protection</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$500K+ audience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Company Formation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WY &amp; NV LLCs/Corps, Shelf Companies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 — impulse buy pricing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Compliance</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Registered Agent, Annual Reports, Foreign Registration</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ESSENTIAL — 2nd selling point</w:t>
            </w:r>
          </w:p>
        </w:tc>
      </w:tr>
    </w:tbl>
    <w:p>
      <w:pPr>
        <w:spacing w:after="60"/>
      </w:pPr>
    </w:p>
    <w:p>
      <w:pPr>
        <w:spacing w:after="120"/>
      </w:pPr>
      <w:r>
        <w:rPr>
          <w:rFonts w:ascii="Arial" w:cs="Arial" w:eastAsia="Arial" w:hAnsi="Arial"/>
          <w:b/>
          <w:bCs/>
          <w:i w:val="false"/>
          <w:iCs w:val="false"/>
          <w:color w:val="333333"/>
          <w:sz w:val="20"/>
          <w:szCs w:val="20"/>
        </w:rPr>
        <w:t xml:space="preserve">David was emphatic that the two main selling points are PRIVACY and MINIMUM NECESSARY COMPLIANCE. Everything on the site should reinforce these themes.</w:t>
      </w:r>
    </w:p>
    <w:p>
      <w:pPr>
        <w:pStyle w:val="Heading1"/>
      </w:pPr>
      <w:r>
        <w:t xml:space="preserve">Key Client Insights</w:t>
      </w:r>
    </w:p>
    <w:p>
      <w:pPr>
        <w:spacing w:after="120"/>
      </w:pPr>
      <w:r>
        <w:rPr>
          <w:rFonts w:ascii="Arial" w:cs="Arial" w:eastAsia="Arial" w:hAnsi="Arial"/>
          <w:b w:val="false"/>
          <w:bCs w:val="false"/>
          <w:i w:val="false"/>
          <w:iCs w:val="false"/>
          <w:color w:val="333333"/>
          <w:sz w:val="20"/>
          <w:szCs w:val="20"/>
        </w:rPr>
        <w:t xml:space="preserve">The discovery conversations surfaced several critical business insights that must inform the redesign:</w:t>
      </w:r>
    </w:p>
    <w:p>
      <w:pPr>
        <w:pStyle w:val="Heading2"/>
      </w:pPr>
      <w:r>
        <w:t xml:space="preserve">How Privacy Actually Works</w:t>
      </w:r>
    </w:p>
    <w:p>
      <w:pPr>
        <w:spacing w:after="120"/>
      </w:pPr>
      <w:r>
        <w:rPr>
          <w:rFonts w:ascii="Arial" w:cs="Arial" w:eastAsia="Arial" w:hAnsi="Arial"/>
          <w:b w:val="false"/>
          <w:bCs w:val="false"/>
          <w:i w:val="false"/>
          <w:iCs w:val="false"/>
          <w:color w:val="333333"/>
          <w:sz w:val="20"/>
          <w:szCs w:val="20"/>
        </w:rPr>
        <w:t xml:space="preserve">Incorporate123’s privacy model centers on Wyoming nominee services. A client forms a WY entity with a Nominee Manager/President, then files a foreign registration in their home state (CA, FL, etc.) listing the nominee in public records. This provides full privacy while remaining compliant with state law. This mechanism must be clearly explained on the site.</w:t>
      </w:r>
    </w:p>
    <w:p>
      <w:pPr>
        <w:pStyle w:val="Heading2"/>
      </w:pPr>
      <w:r>
        <w:t xml:space="preserve">California &amp; Florida — Untapped Growth Market</w:t>
      </w:r>
    </w:p>
    <w:p>
      <w:pPr>
        <w:spacing w:after="120"/>
      </w:pPr>
      <w:r>
        <w:rPr>
          <w:rFonts w:ascii="Arial" w:cs="Arial" w:eastAsia="Arial" w:hAnsi="Arial"/>
          <w:b w:val="false"/>
          <w:bCs w:val="false"/>
          <w:i w:val="false"/>
          <w:iCs w:val="false"/>
          <w:color w:val="333333"/>
          <w:sz w:val="20"/>
          <w:szCs w:val="20"/>
        </w:rPr>
        <w:t xml:space="preserve">David identified CA and FL private incorporation as a major growth opportunity that has not been properly marketed. Businesses tied to those states can now achieve privacy via the WY nominee structure. Given the large populations in both states, dedicated packages and landing pages are warranted.</w:t>
      </w:r>
    </w:p>
    <w:p>
      <w:pPr>
        <w:pStyle w:val="Heading2"/>
      </w:pPr>
      <w:r>
        <w:t xml:space="preserve">Asset Protection Education</w:t>
      </w:r>
    </w:p>
    <w:p>
      <w:pPr>
        <w:spacing w:after="120"/>
      </w:pPr>
      <w:r>
        <w:rPr>
          <w:rFonts w:ascii="Arial" w:cs="Arial" w:eastAsia="Arial" w:hAnsi="Arial"/>
          <w:b w:val="false"/>
          <w:bCs w:val="false"/>
          <w:i w:val="false"/>
          <w:iCs w:val="false"/>
          <w:color w:val="333333"/>
          <w:sz w:val="20"/>
          <w:szCs w:val="20"/>
        </w:rPr>
        <w:t xml:space="preserve">A common misconception among prospects is conflating "privacy" with "asset protection" — they think if they have privacy, they’re protected. David stresses that assets need to be separated, and that LLCs are the preferred vehicle because clients want to retain ownership and control. A key educational message:</w:t>
      </w:r>
    </w:p>
    <w:p>
      <w:pPr>
        <w:pBdr>
          <w:left w:val="single" w:color="1B3A5C" w:sz="6" w:space="8"/>
        </w:pBdr>
        <w:spacing w:before="80" w:after="80"/>
        <w:ind w:left="720"/>
      </w:pPr>
      <w:r>
        <w:rPr>
          <w:rFonts w:ascii="Arial" w:cs="Arial" w:eastAsia="Arial" w:hAnsi="Arial"/>
          <w:i/>
          <w:iCs/>
          <w:color w:val="555555"/>
          <w:sz w:val="20"/>
          <w:szCs w:val="20"/>
        </w:rPr>
        <w:t xml:space="preserve">"A ‘living trust’ (that most people are comfortable with) has ZERO asset protection features." — David</w:t>
      </w:r>
    </w:p>
    <w:p>
      <w:pPr>
        <w:pStyle w:val="Heading2"/>
      </w:pPr>
      <w:r>
        <w:t xml:space="preserve">Competitive Differentiation</w:t>
      </w:r>
    </w:p>
    <w:p>
      <w:pPr>
        <w:spacing w:after="120"/>
      </w:pPr>
      <w:r>
        <w:rPr>
          <w:rFonts w:ascii="Arial" w:cs="Arial" w:eastAsia="Arial" w:hAnsi="Arial"/>
          <w:b w:val="false"/>
          <w:bCs w:val="false"/>
          <w:i w:val="false"/>
          <w:iCs w:val="false"/>
          <w:color w:val="333333"/>
          <w:sz w:val="20"/>
          <w:szCs w:val="20"/>
        </w:rPr>
        <w:t xml:space="preserve">Incorporate123’s critical advantage over competitors is ongoing corporate records and minutes maintenance. Competitors like ShieldCorp provide only a "Nominee for a day" service without maintaining records, which David considers "pretty high risk." This must be prominently messaged to justify premium pricing.</w:t>
      </w:r>
    </w:p>
    <w:p>
      <w:pPr>
        <w:pStyle w:val="Heading2"/>
      </w:pPr>
      <w:r>
        <w:t xml:space="preserve">Self-Service Conversion</w:t>
      </w:r>
    </w:p>
    <w:p>
      <w:pPr>
        <w:spacing w:after="120"/>
      </w:pPr>
      <w:r>
        <w:rPr>
          <w:rFonts w:ascii="Arial" w:cs="Arial" w:eastAsia="Arial" w:hAnsi="Arial"/>
          <w:b w:val="false"/>
          <w:bCs w:val="false"/>
          <w:i w:val="false"/>
          <w:iCs w:val="false"/>
          <w:color w:val="333333"/>
          <w:sz w:val="20"/>
          <w:szCs w:val="20"/>
        </w:rPr>
        <w:t xml:space="preserve">David prefers "Order Now" over "Call Now" — Wyoming packages are cheap enough to be an "impulse buy" and he does not want to spend all day on the phone. The site should prioritize self-service ordering.</w:t>
      </w:r>
    </w:p>
    <w:p>
      <w:pPr>
        <w:pStyle w:val="Heading1"/>
      </w:pPr>
      <w:r>
        <w:t xml:space="preserve">What’s Deprioritized</w:t>
      </w:r>
    </w:p>
    <w:p>
      <w:pPr>
        <w:pStyle w:val="Heading2"/>
      </w:pPr>
      <w:r>
        <w:t xml:space="preserve">Banking Services</w:t>
      </w:r>
    </w:p>
    <w:p>
      <w:pPr>
        <w:spacing w:after="120"/>
      </w:pPr>
      <w:r>
        <w:rPr>
          <w:rFonts w:ascii="Arial" w:cs="Arial" w:eastAsia="Arial" w:hAnsi="Arial"/>
          <w:b w:val="false"/>
          <w:bCs w:val="false"/>
          <w:i w:val="false"/>
          <w:iCs w:val="false"/>
          <w:color w:val="333333"/>
          <w:sz w:val="20"/>
          <w:szCs w:val="20"/>
        </w:rPr>
        <w:t xml:space="preserve">Banking was initially considered as a pillar but is now supportive only. Incorporate123 provides a "Banking Document Package" and sends clients to banks directly. They no longer have bank contacts to facilitate account opening. Content stays on the site but is not a primary SEO or navigation focus.</w:t>
      </w:r>
    </w:p>
    <w:p>
      <w:pPr>
        <w:pStyle w:val="Heading2"/>
      </w:pPr>
      <w:r>
        <w:t xml:space="preserve">International / Offshore</w:t>
      </w:r>
    </w:p>
    <w:p>
      <w:pPr>
        <w:spacing w:after="120"/>
      </w:pPr>
      <w:r>
        <w:rPr>
          <w:rFonts w:ascii="Arial" w:cs="Arial" w:eastAsia="Arial" w:hAnsi="Arial"/>
          <w:b w:val="false"/>
          <w:bCs w:val="false"/>
          <w:i w:val="false"/>
          <w:iCs w:val="false"/>
          <w:color w:val="333333"/>
          <w:sz w:val="20"/>
          <w:szCs w:val="20"/>
        </w:rPr>
        <w:t xml:space="preserve">David is not currently offering international services to US persons. GILTI tax rules have killed demand — US residents almost always choose onshore options. Offshore content remains on the site for credibility (they operate as a Hong Kong corp) but SEO focus is entirely domestic: Wyoming, Nevada, and Shelf Companies.</w:t>
      </w:r>
    </w:p>
    <w:p>
      <w:pPr>
        <w:pStyle w:val="Heading1"/>
      </w:pPr>
      <w:r>
        <w:t xml:space="preserve">Content &amp; UX Approach</w:t>
      </w:r>
    </w:p>
    <w:p>
      <w:pPr>
        <w:spacing w:after="120"/>
      </w:pPr>
      <w:r>
        <w:rPr>
          <w:rFonts w:ascii="Arial" w:cs="Arial" w:eastAsia="Arial" w:hAnsi="Arial"/>
          <w:b w:val="false"/>
          <w:bCs w:val="false"/>
          <w:i w:val="false"/>
          <w:iCs w:val="false"/>
          <w:color w:val="333333"/>
          <w:sz w:val="20"/>
          <w:szCs w:val="20"/>
        </w:rPr>
        <w:t xml:space="preserve">The current site is rich with detailed content, but most visitors won’t read it all. The agreed approach serves two audiences:</w:t>
      </w:r>
    </w:p>
    <w:p>
      <w:pPr>
        <w:pStyle w:val="ListParagraph"/>
        <w:numPr>
          <w:ilvl w:val="0"/>
          <w:numId w:val="2"/>
        </w:numPr>
        <w:spacing w:after="80"/>
      </w:pPr>
      <w:r>
        <w:rPr>
          <w:rFonts w:ascii="Arial" w:cs="Arial" w:eastAsia="Arial" w:hAnsi="Arial"/>
          <w:b/>
          <w:bCs/>
          <w:sz w:val="20"/>
          <w:szCs w:val="20"/>
        </w:rPr>
        <w:t xml:space="preserve">80% of visitors: </w:t>
      </w:r>
      <w:r>
        <w:rPr>
          <w:rFonts w:ascii="Arial" w:cs="Arial" w:eastAsia="Arial" w:hAnsi="Arial"/>
          <w:sz w:val="20"/>
          <w:szCs w:val="20"/>
        </w:rPr>
        <w:t xml:space="preserve">Need a concise layout to digest and convert quickly</w:t>
      </w:r>
    </w:p>
    <w:p>
      <w:pPr>
        <w:pStyle w:val="ListParagraph"/>
        <w:numPr>
          <w:ilvl w:val="0"/>
          <w:numId w:val="2"/>
        </w:numPr>
        <w:spacing w:after="80"/>
      </w:pPr>
      <w:r>
        <w:rPr>
          <w:rFonts w:ascii="Arial" w:cs="Arial" w:eastAsia="Arial" w:hAnsi="Arial"/>
          <w:b/>
          <w:bCs/>
          <w:sz w:val="20"/>
          <w:szCs w:val="20"/>
        </w:rPr>
        <w:t xml:space="preserve">20% of visitors: </w:t>
      </w:r>
      <w:r>
        <w:rPr>
          <w:rFonts w:ascii="Arial" w:cs="Arial" w:eastAsia="Arial" w:hAnsi="Arial"/>
          <w:sz w:val="20"/>
          <w:szCs w:val="20"/>
        </w:rPr>
        <w:t xml:space="preserve">Want the finer details to build trust before committing</w:t>
      </w:r>
    </w:p>
    <w:p>
      <w:pPr>
        <w:spacing w:after="120"/>
      </w:pPr>
      <w:r>
        <w:rPr>
          <w:rFonts w:ascii="Arial" w:cs="Arial" w:eastAsia="Arial" w:hAnsi="Arial"/>
          <w:b w:val="false"/>
          <w:bCs w:val="false"/>
          <w:i w:val="false"/>
          <w:iCs w:val="false"/>
          <w:color w:val="333333"/>
          <w:sz w:val="20"/>
          <w:szCs w:val="20"/>
        </w:rPr>
        <w:t xml:space="preserve">David emphasized the details are critical for trust and differentiation. The solution is progressive disclosure: lead with concise, conversion-focused content, then make detailed content easily accessible for those who want depth.</w:t>
      </w:r>
    </w:p>
    <w:p>
      <w:pPr>
        <w:spacing w:after="60"/>
      </w:pPr>
    </w:p>
    <w:p>
      <w:pPr>
        <w:spacing w:after="120"/>
      </w:pPr>
      <w:r>
        <w:rPr>
          <w:rFonts w:ascii="Arial" w:cs="Arial" w:eastAsia="Arial" w:hAnsi="Arial"/>
          <w:b w:val="false"/>
          <w:bCs w:val="false"/>
          <w:i w:val="false"/>
          <w:iCs w:val="false"/>
          <w:color w:val="333333"/>
          <w:sz w:val="20"/>
          <w:szCs w:val="20"/>
        </w:rPr>
        <w:t xml:space="preserve">The user journey follows: Education (pillar pages) → Comparison ("WY vs NV," "Best state for privacy") → Packages (specific offerings) → Conversion ("Order Now").</w:t>
      </w:r>
    </w:p>
    <w:p>
      <w:pPr>
        <w:pStyle w:val="Heading1"/>
      </w:pPr>
      <w: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Incorporate123 Advantage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NCH Inc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Big Nevada incorporator. High volume, business credit coaching. 11,989 Trustpilot reviews.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Different value prop — NCH targets business development, not privacy seekers. No nominee services.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Anderson Advisors</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Attorney-led. Full service nominee + asset protection in NV.</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 competitor. Competes on attorney credibility; likely more expensive.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ShieldCorp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Nominee services. Long-standing. Now in NV and WY.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"Far superior" — ShieldCorp doesn’t maintain records/minutes. High risk for clients.</w:t>
            </w:r>
          </w:p>
        </w:tc>
      </w:tr>
    </w:tbl>
    <w:p>
      <w:pPr>
        <w:spacing w:after="60"/>
      </w:pPr>
    </w:p>
    <w:p>
      <w:pPr>
        <w:pStyle w:val="Heading1"/>
      </w:pPr>
      <w:r>
        <w:t xml:space="preserve">Technical Requirements</w:t>
      </w:r>
    </w:p>
    <w:p>
      <w:pPr>
        <w:pStyle w:val="ListParagraph"/>
        <w:numPr>
          <w:ilvl w:val="0"/>
          <w:numId w:val="3"/>
        </w:numPr>
        <w:spacing w:after="80"/>
      </w:pPr>
      <w:r>
        <w:rPr>
          <w:rFonts w:ascii="Arial" w:cs="Arial" w:eastAsia="Arial" w:hAnsi="Arial"/>
          <w:sz w:val="20"/>
          <w:szCs w:val="20"/>
        </w:rPr>
        <w:t xml:space="preserve">Remove /services/ from all URLs — old keyword stuffing pattern, now penalized. All old URLs 301 redirected.</w:t>
      </w:r>
    </w:p>
    <w:p>
      <w:pPr>
        <w:pStyle w:val="ListParagraph"/>
        <w:numPr>
          <w:ilvl w:val="0"/>
          <w:numId w:val="3"/>
        </w:numPr>
        <w:spacing w:after="80"/>
      </w:pPr>
      <w:r>
        <w:rPr>
          <w:rFonts w:ascii="Arial" w:cs="Arial" w:eastAsia="Arial" w:hAnsi="Arial"/>
          <w:sz w:val="20"/>
          <w:szCs w:val="20"/>
        </w:rPr>
        <w:t xml:space="preserve">New URL structure: /formation/, /privacy/, /asset-protection/, /compliance/</w:t>
      </w:r>
    </w:p>
    <w:p>
      <w:pPr>
        <w:pStyle w:val="ListParagraph"/>
        <w:numPr>
          <w:ilvl w:val="0"/>
          <w:numId w:val="3"/>
        </w:numPr>
        <w:spacing w:after="80"/>
      </w:pPr>
      <w:r>
        <w:rPr>
          <w:rFonts w:ascii="Arial" w:cs="Arial" w:eastAsia="Arial" w:hAnsi="Arial"/>
          <w:sz w:val="20"/>
          <w:szCs w:val="20"/>
        </w:rPr>
        <w:t xml:space="preserve">Fresh Google Analytics and Search Console installation (old account locked out)</w:t>
      </w:r>
    </w:p>
    <w:p>
      <w:pPr>
        <w:pStyle w:val="ListParagraph"/>
        <w:numPr>
          <w:ilvl w:val="0"/>
          <w:numId w:val="3"/>
        </w:numPr>
        <w:spacing w:after="80"/>
      </w:pPr>
      <w:r>
        <w:rPr>
          <w:rFonts w:ascii="Arial" w:cs="Arial" w:eastAsia="Arial" w:hAnsi="Arial"/>
          <w:sz w:val="20"/>
          <w:szCs w:val="20"/>
        </w:rPr>
        <w:t xml:space="preserve">Irish (i.sailago@bitstudios.com) needs access to GA and GSC</w:t>
      </w:r>
    </w:p>
    <w:p>
      <w:pPr>
        <w:pStyle w:val="ListParagraph"/>
        <w:numPr>
          <w:ilvl w:val="0"/>
          <w:numId w:val="3"/>
        </w:numPr>
        <w:spacing w:after="80"/>
      </w:pPr>
      <w:r>
        <w:rPr>
          <w:rFonts w:ascii="Arial" w:cs="Arial" w:eastAsia="Arial" w:hAnsi="Arial"/>
          <w:sz w:val="20"/>
          <w:szCs w:val="20"/>
        </w:rPr>
        <w:t xml:space="preserve">Need alternative to BBB for trust/review signals (G2, Trustpilot, or industry-specific)</w:t>
      </w:r>
    </w:p>
    <w:p>
      <w:pPr>
        <w:pStyle w:val="ListParagraph"/>
        <w:numPr>
          <w:ilvl w:val="0"/>
          <w:numId w:val="3"/>
        </w:numPr>
        <w:spacing w:after="80"/>
      </w:pPr>
      <w:r>
        <w:rPr>
          <w:rFonts w:ascii="Arial" w:cs="Arial" w:eastAsia="Arial" w:hAnsi="Arial"/>
          <w:sz w:val="20"/>
          <w:szCs w:val="20"/>
        </w:rPr>
        <w:t xml:space="preserve">All services sold as packages with optional add-ons (not a la carte)</w:t>
      </w:r>
    </w:p>
    <w:p>
      <w:pPr>
        <w:pStyle w:val="Heading1"/>
      </w:pPr>
      <w:r>
        <w:t xml:space="preserve">Timeline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Dec 1–2, 2025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 conversations: strategy, pillars, services, packages, competitors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Dec 5, 2025</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Strategy document shared for client review</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Feb 15, 2026</w:t>
            </w:r>
          </w:p>
        </w:tc>
        <w:tc>
          <w:tcPr>
            <w:tcW w:type="dxa" w:w="5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approves strategy: "all looks good and I am ready to proceed"</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333333"/>
                <w:sz w:val="20"/>
                <w:szCs w:val="20"/>
              </w:rPr>
              <w:t xml:space="preserve">APPROVED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Feb 16, 2026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SOW development begins; Phase 1 kick-off pending contract signature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 Progress</w:t>
            </w:r>
          </w:p>
        </w:tc>
      </w:tr>
    </w:tbl>
    <w:p>
      <w:pPr>
        <w:spacing w:after="60"/>
      </w:pPr>
    </w:p>
    <w:p>
      <w:pPr>
        <w:pStyle w:val="Heading1"/>
      </w:pPr>
      <w:r>
        <w:t xml:space="preserve">Decisions &amp; Commitments (Carry Forward)</w:t>
      </w:r>
    </w:p>
    <w:p>
      <w:pPr>
        <w:spacing w:after="120"/>
      </w:pPr>
      <w:r>
        <w:rPr>
          <w:rFonts w:ascii="Arial" w:cs="Arial" w:eastAsia="Arial" w:hAnsi="Arial"/>
          <w:b w:val="false"/>
          <w:bCs w:val="false"/>
          <w:i w:val="false"/>
          <w:iCs w:val="false"/>
          <w:color w:val="333333"/>
          <w:sz w:val="20"/>
          <w:szCs w:val="20"/>
        </w:rPr>
        <w:t xml:space="preserve">The following decisions were confirmed by David during discovery and should be treated as project requirements:</w:t>
      </w:r>
    </w:p>
    <w:p>
      <w:pPr>
        <w:spacing w:after="60"/>
      </w:pPr>
    </w:p>
    <w:p>
      <w:pPr>
        <w:pStyle w:val="ListParagraph"/>
        <w:numPr>
          <w:ilvl w:val="0"/>
          <w:numId w:val="4"/>
        </w:numPr>
        <w:spacing w:after="80"/>
      </w:pPr>
      <w:r>
        <w:rPr>
          <w:rFonts w:ascii="Arial" w:cs="Arial" w:eastAsia="Arial" w:hAnsi="Arial"/>
          <w:b/>
          <w:bCs/>
          <w:sz w:val="20"/>
          <w:szCs w:val="20"/>
        </w:rPr>
        <w:t xml:space="preserve">Privacy is the #1 draw. </w:t>
      </w:r>
      <w:r>
        <w:rPr>
          <w:rFonts w:ascii="Arial" w:cs="Arial" w:eastAsia="Arial" w:hAnsi="Arial"/>
          <w:sz w:val="20"/>
          <w:szCs w:val="20"/>
        </w:rPr>
        <w:t xml:space="preserve">All site architecture, messaging, and SEO strategy must lead with privacy.</w:t>
      </w:r>
    </w:p>
    <w:p>
      <w:pPr>
        <w:pStyle w:val="ListParagraph"/>
        <w:numPr>
          <w:ilvl w:val="0"/>
          <w:numId w:val="4"/>
        </w:numPr>
        <w:spacing w:after="80"/>
      </w:pPr>
      <w:r>
        <w:rPr>
          <w:rFonts w:ascii="Arial" w:cs="Arial" w:eastAsia="Arial" w:hAnsi="Arial"/>
          <w:b/>
          <w:bCs/>
          <w:sz w:val="20"/>
          <w:szCs w:val="20"/>
        </w:rPr>
        <w:t xml:space="preserve">CA &amp; FL private incorporation is a major growth opportunity </w:t>
      </w:r>
      <w:r>
        <w:rPr>
          <w:rFonts w:ascii="Arial" w:cs="Arial" w:eastAsia="Arial" w:hAnsi="Arial"/>
          <w:sz w:val="20"/>
          <w:szCs w:val="20"/>
        </w:rPr>
        <w:t xml:space="preserve">that needs prominent placement in the new site.</w:t>
      </w:r>
    </w:p>
    <w:p>
      <w:pPr>
        <w:pStyle w:val="ListParagraph"/>
        <w:numPr>
          <w:ilvl w:val="0"/>
          <w:numId w:val="4"/>
        </w:numPr>
        <w:spacing w:after="80"/>
      </w:pPr>
      <w:r>
        <w:rPr>
          <w:rFonts w:ascii="Arial" w:cs="Arial" w:eastAsia="Arial" w:hAnsi="Arial"/>
          <w:b/>
          <w:bCs/>
          <w:sz w:val="20"/>
          <w:szCs w:val="20"/>
        </w:rPr>
        <w:t xml:space="preserve">Packages only, not a la carte. </w:t>
      </w:r>
      <w:r>
        <w:rPr>
          <w:rFonts w:ascii="Arial" w:cs="Arial" w:eastAsia="Arial" w:hAnsi="Arial"/>
          <w:sz w:val="20"/>
          <w:szCs w:val="20"/>
        </w:rPr>
        <w:t xml:space="preserve">All packages include Registered Agent and Custom Records Prep.</w:t>
      </w:r>
    </w:p>
    <w:p>
      <w:pPr>
        <w:pStyle w:val="ListParagraph"/>
        <w:numPr>
          <w:ilvl w:val="0"/>
          <w:numId w:val="4"/>
        </w:numPr>
        <w:spacing w:after="80"/>
      </w:pPr>
      <w:r>
        <w:rPr>
          <w:rFonts w:ascii="Arial" w:cs="Arial" w:eastAsia="Arial" w:hAnsi="Arial"/>
          <w:b/>
          <w:bCs/>
          <w:sz w:val="20"/>
          <w:szCs w:val="20"/>
        </w:rPr>
        <w:t xml:space="preserve">"Order Now" over "Call Now." </w:t>
      </w:r>
      <w:r>
        <w:rPr>
          <w:rFonts w:ascii="Arial" w:cs="Arial" w:eastAsia="Arial" w:hAnsi="Arial"/>
          <w:sz w:val="20"/>
          <w:szCs w:val="20"/>
        </w:rPr>
        <w:t xml:space="preserve">Facilitate self-service ordering; WY packages are impulse-buy priced.</w:t>
      </w:r>
    </w:p>
    <w:p>
      <w:pPr>
        <w:pStyle w:val="ListParagraph"/>
        <w:numPr>
          <w:ilvl w:val="0"/>
          <w:numId w:val="4"/>
        </w:numPr>
        <w:spacing w:after="80"/>
      </w:pPr>
      <w:r>
        <w:rPr>
          <w:rFonts w:ascii="Arial" w:cs="Arial" w:eastAsia="Arial" w:hAnsi="Arial"/>
          <w:b/>
          <w:bCs/>
          <w:sz w:val="20"/>
          <w:szCs w:val="20"/>
        </w:rPr>
        <w:t xml:space="preserve">Concise first, details accessible. </w:t>
      </w:r>
      <w:r>
        <w:rPr>
          <w:rFonts w:ascii="Arial" w:cs="Arial" w:eastAsia="Arial" w:hAnsi="Arial"/>
          <w:sz w:val="20"/>
          <w:szCs w:val="20"/>
        </w:rPr>
        <w:t xml:space="preserve">Progressive disclosure for 80% quick converters and 20% detail readers.</w:t>
      </w:r>
    </w:p>
    <w:p>
      <w:pPr>
        <w:pStyle w:val="ListParagraph"/>
        <w:numPr>
          <w:ilvl w:val="0"/>
          <w:numId w:val="4"/>
        </w:numPr>
        <w:spacing w:after="80"/>
      </w:pPr>
      <w:r>
        <w:rPr>
          <w:rFonts w:ascii="Arial" w:cs="Arial" w:eastAsia="Arial" w:hAnsi="Arial"/>
          <w:b/>
          <w:bCs/>
          <w:sz w:val="20"/>
          <w:szCs w:val="20"/>
        </w:rPr>
        <w:t xml:space="preserve">Corporate records maintenance is THE differentiator </w:t>
      </w:r>
      <w:r>
        <w:rPr>
          <w:rFonts w:ascii="Arial" w:cs="Arial" w:eastAsia="Arial" w:hAnsi="Arial"/>
          <w:sz w:val="20"/>
          <w:szCs w:val="20"/>
        </w:rPr>
        <w:t xml:space="preserve">vs. competitors offering "nominee for a day" services.</w:t>
      </w:r>
    </w:p>
    <w:p>
      <w:pPr>
        <w:pStyle w:val="ListParagraph"/>
        <w:numPr>
          <w:ilvl w:val="0"/>
          <w:numId w:val="4"/>
        </w:numPr>
        <w:spacing w:after="80"/>
      </w:pPr>
      <w:r>
        <w:rPr>
          <w:rFonts w:ascii="Arial" w:cs="Arial" w:eastAsia="Arial" w:hAnsi="Arial"/>
          <w:b/>
          <w:bCs/>
          <w:sz w:val="20"/>
          <w:szCs w:val="20"/>
        </w:rPr>
        <w:t xml:space="preserve">Banking is supportive, not primary. </w:t>
      </w:r>
      <w:r>
        <w:rPr>
          <w:rFonts w:ascii="Arial" w:cs="Arial" w:eastAsia="Arial" w:hAnsi="Arial"/>
          <w:sz w:val="20"/>
          <w:szCs w:val="20"/>
        </w:rPr>
        <w:t xml:space="preserve">Content stays but not a pillar or SEO focus.</w:t>
      </w:r>
    </w:p>
    <w:p>
      <w:pPr>
        <w:pStyle w:val="ListParagraph"/>
        <w:numPr>
          <w:ilvl w:val="0"/>
          <w:numId w:val="4"/>
        </w:numPr>
        <w:spacing w:after="80"/>
      </w:pPr>
      <w:r>
        <w:rPr>
          <w:rFonts w:ascii="Arial" w:cs="Arial" w:eastAsia="Arial" w:hAnsi="Arial"/>
          <w:b/>
          <w:bCs/>
          <w:sz w:val="20"/>
          <w:szCs w:val="20"/>
        </w:rPr>
        <w:t xml:space="preserve">Offshore stays for credibility but SEO is domestic only. </w:t>
      </w:r>
      <w:r>
        <w:rPr>
          <w:rFonts w:ascii="Arial" w:cs="Arial" w:eastAsia="Arial" w:hAnsi="Arial"/>
          <w:sz w:val="20"/>
          <w:szCs w:val="20"/>
        </w:rPr>
        <w:t xml:space="preserve">GILTI killed US-person offshore demand.</w:t>
      </w:r>
    </w:p>
    <w:p>
      <w:pPr>
        <w:pStyle w:val="ListParagraph"/>
        <w:numPr>
          <w:ilvl w:val="0"/>
          <w:numId w:val="4"/>
        </w:numPr>
        <w:spacing w:after="80"/>
      </w:pPr>
      <w:r>
        <w:rPr>
          <w:rFonts w:ascii="Arial" w:cs="Arial" w:eastAsia="Arial" w:hAnsi="Arial"/>
          <w:b/>
          <w:bCs/>
          <w:sz w:val="20"/>
          <w:szCs w:val="20"/>
        </w:rPr>
        <w:t xml:space="preserve">Clean up /services/ URL pattern. </w:t>
      </w:r>
      <w:r>
        <w:rPr>
          <w:rFonts w:ascii="Arial" w:cs="Arial" w:eastAsia="Arial" w:hAnsi="Arial"/>
          <w:sz w:val="20"/>
          <w:szCs w:val="20"/>
        </w:rPr>
        <w:t xml:space="preserve">Old keyword stuffing; 301 redirect everything.</w:t>
      </w:r>
    </w:p>
    <w:p>
      <w:pPr>
        <w:pStyle w:val="ListParagraph"/>
        <w:numPr>
          <w:ilvl w:val="0"/>
          <w:numId w:val="4"/>
        </w:numPr>
        <w:spacing w:after="120"/>
      </w:pPr>
      <w:r>
        <w:rPr>
          <w:rFonts w:ascii="Arial" w:cs="Arial" w:eastAsia="Arial" w:hAnsi="Arial"/>
          <w:b/>
          <w:bCs/>
          <w:sz w:val="20"/>
          <w:szCs w:val="20"/>
        </w:rPr>
        <w:t xml:space="preserve">Fresh GA + GSC install required. </w:t>
      </w:r>
      <w:r>
        <w:rPr>
          <w:rFonts w:ascii="Arial" w:cs="Arial" w:eastAsia="Arial" w:hAnsi="Arial"/>
          <w:sz w:val="20"/>
          <w:szCs w:val="20"/>
        </w:rPr>
        <w:t xml:space="preserve">Old account inaccessible. Also need BBB replacement for reviews.</w:t>
      </w:r>
    </w:p>
    <w:p>
      <w:pPr>
        <w:spacing w:after="60"/>
      </w:pPr>
    </w:p>
    <w:p>
      <w:pPr>
        <w:pBdr>
          <w:top w:val="single" w:color="1B3A5C" w:sz="4" w:space="8"/>
        </w:pBdr>
        <w:spacing w:before="200"/>
      </w:pPr>
      <w:r>
        <w:rPr>
          <w:rFonts w:ascii="Arial" w:cs="Arial" w:eastAsia="Arial" w:hAnsi="Arial"/>
          <w:i/>
          <w:iCs/>
          <w:color w:val="777777"/>
          <w:sz w:val="18"/>
          <w:szCs w:val="18"/>
        </w:rPr>
        <w:t xml:space="preserve">Prepared by BIT Studios  |  Source: Client discovery conversations (Telegram)  |  For internal project reference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4"/>
      </w:pBdr>
      <w:tabs>
        <w:tab w:val="right" w:pos="9026"/>
      </w:tabs>
    </w:pPr>
    <w:r>
      <w:rPr>
        <w:rFonts w:ascii="Arial" w:cs="Arial" w:eastAsia="Arial" w:hAnsi="Arial"/>
        <w:color w:val="999999"/>
        <w:sz w:val="16"/>
        <w:szCs w:val="16"/>
      </w:rPr>
      <w:t xml:space="preserve">Incorporate123 — Executive Summary</w:t>
    </w:r>
    <w:r>
      <w:t xml:space="preserve">	</w:t>
    </w:r>
    <w:r>
      <w:rPr>
        <w:rFonts w:ascii="Arial" w:cs="Arial" w:eastAsia="Arial" w:hAnsi="Arial"/>
        <w:color w:val="999999"/>
        <w:sz w:val="16"/>
        <w:szCs w:val="16"/>
      </w:rPr>
      <w:t xml:space="preserve">BIT Studios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3" w:space="4"/>
      </w:pBd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2026-02-27T11:21:11.011Z</dcterms:created>
  <dcterms:modified xsi:type="dcterms:W3CDTF">2026-02-27T11:21:11.012Z</dcterms:modified>
</cp:coreProperties>
</file>

<file path=docProps/custom.xml><?xml version="1.0" encoding="utf-8"?>
<Properties xmlns="http://schemas.openxmlformats.org/officeDocument/2006/custom-properties" xmlns:vt="http://schemas.openxmlformats.org/officeDocument/2006/docPropsVTypes"/>
</file>