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Package Tier Definitions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Canonical reference — per David, April 1, 2026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Tier Structure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558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Included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Bronze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formation + compliance</w:t>
            </w:r>
          </w:p>
        </w:tc>
        <w:tc>
          <w:tcPr>
            <w:tcW w:type="dxa" w:w="55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RA, annual filings, record keeping, state fees included. No virtual office, no mail forwarding, no nominees.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Silver</w:t>
            </w:r>
          </w:p>
        </w:tc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Bronze + virtual office + mail forwarding</w:t>
            </w:r>
          </w:p>
        </w:tc>
        <w:tc>
          <w:tcPr>
            <w:tcW w:type="dxa" w:w="55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Everything in Bronze plus NV/WY business address and weekly mail forwarding.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Silver + nominee privacy</w:t>
            </w:r>
          </w:p>
        </w:tc>
        <w:tc>
          <w:tcPr>
            <w:tcW w:type="dxa" w:w="55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Everything in Silver plus year-round nominee directors/officers and offshore records storage. The only difference from Silver.</w:t>
            </w:r>
          </w:p>
        </w:tc>
      </w:tr>
    </w:tbl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Package Matrix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0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08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9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LLC</w:t>
            </w:r>
          </w:p>
        </w:tc>
        <w:tc>
          <w:tcPr>
            <w:tcW w:type="dxa" w:w="29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Corp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Wyoming Gold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$1,575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Wyoming Silver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</w:t>
            </w:r>
          </w:p>
        </w:tc>
        <w:tc>
          <w:tcPr>
            <w:tcW w:type="dxa" w:w="10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Silver</w:t>
            </w:r>
          </w:p>
        </w:tc>
        <w:tc>
          <w:tcPr>
            <w:tcW w:type="dxa" w:w="2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$875</w:t>
            </w:r>
          </w:p>
        </w:tc>
        <w:tc>
          <w:tcPr>
            <w:tcW w:type="dxa" w:w="2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$1,175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Wyoming Bronze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Bronze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Nevada Gold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</w:t>
            </w:r>
          </w:p>
        </w:tc>
        <w:tc>
          <w:tcPr>
            <w:tcW w:type="dxa" w:w="10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2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$1,800</w:t>
            </w:r>
          </w:p>
        </w:tc>
        <w:tc>
          <w:tcPr>
            <w:tcW w:type="dxa" w:w="2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$2,100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Nevada Silver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Silver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$1,575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Nevada Bronze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</w:t>
            </w:r>
          </w:p>
        </w:tc>
        <w:tc>
          <w:tcPr>
            <w:tcW w:type="dxa" w:w="10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Bronze</w:t>
            </w:r>
          </w:p>
        </w:tc>
        <w:tc>
          <w:tcPr>
            <w:tcW w:type="dxa" w:w="2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$699</w:t>
            </w:r>
          </w:p>
        </w:tc>
        <w:tc>
          <w:tcPr>
            <w:tcW w:type="dxa" w:w="2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$899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California Private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$1,475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$1,775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Florida Private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</w:t>
            </w:r>
          </w:p>
        </w:tc>
        <w:tc>
          <w:tcPr>
            <w:tcW w:type="dxa" w:w="10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2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$1,475</w:t>
            </w:r>
          </w:p>
        </w:tc>
        <w:tc>
          <w:tcPr>
            <w:tcW w:type="dxa" w:w="2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$1,775</w:t>
            </w:r>
          </w:p>
        </w:tc>
      </w:tr>
    </w:tbl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CA/FL Private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These are convenience packages for high-volume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Essentially WY + foreign registration in CA or FL.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Kept because many clients from these states recognize "California Private" or "Florida Private" immediately.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True Add-Ons (checkout)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Only ~3 items available at checkout: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Foreign State Filing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Domestication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Possibly EIN ($75)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Post-Purchase Options (not checkout add-ons)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Offered after purchase during onboarding, not during checkout: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NV telephone service (Verizon — client pays phone bill)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NV business license tax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County business license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Shelf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Two-step product: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1) Customer purchases existing aged entity (age-tiered pricing)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2) Customer adds Bronze/Silver/Gold package on top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Key Rule: No A La Carte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Packages only. Never offered item-by-item services. More profitable and ensures clients receive all necessary services.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200"/>
    </w:pPr>
    <w:r>
      <w:rPr>
        <w:rFonts w:ascii="Arial" w:cs="Arial" w:eastAsia="Arial" w:hAnsi="Arial"/>
        <w:color w:val="999999"/>
        <w:sz w:val="14"/>
        <w:szCs w:val="14"/>
      </w:rPr>
      <w:t xml:space="preserve">Confidential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b/>
        <w:bCs/>
        <w:color w:val="1A3C5E"/>
        <w:sz w:val="16"/>
        <w:szCs w:val="16"/>
      </w:rPr>
      <w:t xml:space="preserve">Incorporate123</w:t>
    </w:r>
    <w:r>
      <w:rPr>
        <w:rFonts w:ascii="Arial" w:cs="Arial" w:eastAsia="Arial" w:hAnsi="Arial"/>
        <w:color w:val="666666"/>
        <w:sz w:val="16"/>
        <w:szCs w:val="16"/>
      </w:rPr>
      <w:t xml:space="preserve">  |  BIT Studios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2026-04-01T10:43:22.803Z</dcterms:created>
  <dcterms:modified xsi:type="dcterms:W3CDTF">2026-04-01T10:43:22.803Z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