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Phase 1: Discovery Report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Executive Summary for Client Review</w:t>
      </w:r>
    </w:p>
    <w:p>
      <w:pPr>
        <w:pStyle w:val="Heading1"/>
      </w:pPr>
      <w:r>
        <w:t xml:space="preserve">Phase 1 Scope &amp; Deliverables</w:t>
      </w:r>
    </w:p>
    <w:p>
      <w:pPr>
        <w:spacing w:after="80" w:before="40"/>
      </w:pPr>
      <w:r>
        <w:rPr>
          <w:i/>
          <w:iCs/>
          <w:color w:val="555555"/>
          <w:sz w:val="20"/>
          <w:szCs w:val="20"/>
        </w:rPr>
        <w:t xml:space="preserve">Per SOW — Discovery &amp; Strategy: 36 hours, $2,520 (Milestone 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Site Audit &amp; Inventory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Crawl all URLs, categorize content, assess SEO metadata and technical health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Content Migration Mapping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Map every current URL to its destination in the new architecture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Competitive Analysis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Analyze direct competitors across structure, positioning, pricing, and funnels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User Journey Mapping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Define primary user paths for privacy, asset protection, and formation intents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Redirect Planning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mapping of all current URLs to new destinations (301 redirects)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Stakeholder Alignment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Client meetings, strategy review, approval process</w:t>
            </w:r>
          </w:p>
        </w:tc>
      </w:tr>
    </w:tbl>
    <w:p>
      <w:pPr>
        <w:spacing w:after="40" w:before="100"/>
      </w:pPr>
      <w:r>
        <w:rPr>
          <w:b/>
          <w:bCs/>
          <w:color w:val="1A3C5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Discovery Report — comprehensive findings, strategic recommendations, validated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Finalized Site Architecture — 4-pillar, ~75-page structure with URL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Content Migration Map &amp; Redirect Plan — all 326 URLs mapped to new destinations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Positioning Framework — brand positioning, tone of voice, trust signal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User Journey Mapping — 3 primary + 6 secondary conversion paths</w:t>
      </w:r>
    </w:p>
    <w:p>
      <w:pPr>
        <w:pStyle w:val="Heading1"/>
      </w:pPr>
      <w:r>
        <w:t xml:space="preserve">What We Did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Crawled and audited 392 URLs across your entire current site (2.3x larger than initially estimated at 171)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Mapped all 326 content pages to a new 71-page architecture — 78% URL reduction with zero content loss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Analyzed 5 direct competitors: NCH, Anderson Advisors, ShieldCorp, WY Corporate Services, ZenBusiness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Mapped 3 primary user journeys: Privacy Seeker, Asset Protector, Formation Buyer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Drafted ~326 301-redirects so no existing page loses its search equity</w:t>
      </w:r>
    </w:p>
    <w:p>
      <w:pPr>
        <w:pStyle w:val="Heading1"/>
      </w:pPr>
      <w:r>
        <w:t xml:space="preserve">What We Found</w:t>
      </w:r>
    </w:p>
    <w:p>
      <w:pPr>
        <w:pStyle w:val="Heading2"/>
      </w:pPr>
      <w:r>
        <w:t xml:space="preserve">Current Site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0 of 319 pages have an H1 tag — the most critical on-page SEO element is completely missing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73% of pages (224) share duplicate title tags — 209 use a single generic Learning Center title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62% of the site (242 URLs) is Learning Center FAQ content buried in a content silo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20% of pages (64) have no meta description at 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Site architecture is geography-first (pick a state) when visitors search by intent (privacy, asset protection)</w:t>
      </w:r>
    </w:p>
    <w:p>
      <w:pPr>
        <w:pStyle w:val="Heading2"/>
      </w:pPr>
      <w:r>
        <w:t xml:space="preserve">Competitive Landscape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No competitor combines: modern UX + privacy-first architecture + transparent pricing + nominee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Anderson Advisors moved to consultation-gated pricing — can’t buy online anymore (opportunity for self-service)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90% of privacy/asset protection SERP positions are held by non-specialists (law firms, publishers) who can’t convert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5,500–9,500 monthly searches in privacy/AP keywords with minimal competition from formation companies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Incorporate123 has zero reviews on any public platform — biggest trust gap vs. competitors (NCH: 12,263; ZenBusiness: 25,821)</w:t>
      </w:r>
    </w:p>
    <w:p>
      <w:pPr>
        <w:pStyle w:val="Heading1"/>
      </w:pPr>
      <w:r>
        <w:t xml:space="preserve">New Architecture: 4 Pillars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Privacy (Lead Pillar)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11 pages — Anonymous LLC, Nominee Services, State Privacy, CA/FL Private Inc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Asset Protection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 pages — Charging Order, Investment Holding, Real Estate AP, State 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Company Formation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 pages — WY/NV LLC &amp; Corp, Shelf Companies, Entity Tax Guide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Compliance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 pages — Registered Agent, Annual Reports, Foreign Registration, Tax Obligations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+ Packages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 conversion endpoints (WY Gold/Silver, NV Gold/Silver/Bronze, CA/FL Private, Shelf)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+ State Hubs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cross-pillar pages (Wyoming, Nevada, California, Florida)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+ Comparisons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 decision-tool pages (WY vs NV, LLC vs Corp, etc.)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+ Utility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Homepage, About, Contact, FAQ, Blog, Legal — ~71 pages total</w:t>
            </w:r>
          </w:p>
        </w:tc>
      </w:tr>
    </w:tbl>
    <w:p>
      <w:pPr>
        <w:spacing w:before="120"/>
      </w:pPr>
    </w:p>
    <w:p>
      <w:pPr>
        <w:pStyle w:val="Heading1"/>
      </w:pPr>
      <w:r>
        <w:t xml:space="preserve">Strategic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Lead with Privacy as primary differentiator — year-round nominee services are unmatched by competitors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Price transparently with bundled value — Gold packages ($1,275–$2,100) include nominees that competitors charge $400–$5,000/yr extra for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Build trust infrastructure urgently — Trustpilot review collection, 25-year track record messaging, phone support prominence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Use progressive disclosure (80/20 split) — concise content for scanners, expandable detail for researchers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Flat URL structure (no directory hierarchy) — clean, shareable, future-proof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Intent-first navigation replaces geography-first — visitors find services before choosing states</w:t>
      </w:r>
    </w:p>
    <w:p>
      <w:pPr>
        <w:pStyle w:val="Heading1"/>
      </w:pPr>
      <w:r>
        <w:t xml:space="preserve">Approval &amp; Next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Confirm 4-pillar site architecture (Privacy, Asset Protection, Formation, Compliance)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Approve 326-to-71 content consolidation plan and redirect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Confirm positioning: “Privacy, Asset Protection &amp; Business Formation Specialists”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Authorize transition to Phase 2: UX &amp; Interactive Prototyping</w:t>
      </w:r>
    </w:p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2: UX &amp; Prototyping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Weeks 2–5 — Clickable prototype of the full site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Phase 2: Visual Design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Weeks 2–5 — Brand identity, typography, color system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Phase 3: SEO Strategy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Weeks 3–8 — Page-by-page keyword targeting &amp; specs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Phase 4: Development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Weeks 4–9 — WordPress CMS build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Phase 5: Launch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Weeks 8–10 — Testing, QA, redirect verification, go-live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BIT Studios × Incorporate123 — March 2026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A3C5E"/>
        <w:sz w:val="18"/>
        <w:szCs w:val="18"/>
      </w:rPr>
      <w:t xml:space="preserve">INCORPORATE123 </w:t>
    </w:r>
    <w:r>
      <w:rPr>
        <w:rFonts w:ascii="Arial" w:cs="Arial" w:eastAsia="Arial" w:hAnsi="Arial"/>
        <w:color w:val="666666"/>
        <w:sz w:val="18"/>
        <w:szCs w:val="18"/>
      </w:rPr>
      <w:t xml:space="preserve">| Discovery Report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2026-03-30T14:47:44.086Z</dcterms:created>
  <dcterms:modified xsi:type="dcterms:W3CDTF">2026-03-30T14:47:44.086Z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