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BIT STUDIOS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INCORPORATE123 PROJECT UPDATE</w:t>
      </w:r>
    </w:p>
    <w:p>
      <w:pPr>
        <w:pBdr>
          <w:bottom w:val="single" w:color="1B4F72" w:sz="6" w:space="8"/>
        </w:pBd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Internal Meeting Agenda</w:t>
      </w:r>
    </w:p>
    <w:p>
      <w:pPr>
        <w:spacing w:before="24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Thursday, March 5,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Attendees: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Alex, Jeff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Duration: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Project: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Incorporate123 Website Redesign</w:t>
            </w:r>
          </w:p>
        </w:tc>
      </w:tr>
    </w:tbl>
    <w:p>
      <w:pPr>
        <w:pBdr>
          <w:bottom w:val="single" w:color="1B4F72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Phase 1 Discovery — Complete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Phase 1 deliverables have been produced and are ready for client sign-off: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Site Audit: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392 URLs crawled (2.3x the original 171 estimate), 325 unique pages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Content Migration Map: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326 current URLs mapped to 71 new pages across 9 template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Competitive Analysis: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 core competitors analyzed (NCH, Anderson, ShieldCorp, WCS, ZenBusiness)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User Journey Mapping: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 primary personas with full journey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Discovery Report: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Complete with findings, positioning framework, and validated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Validated Site Architecture: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71-page, 4-pillar structure ready for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Meeting Materials: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Facilitator guide, presentation deck, and sign-off form prepared</w:t>
      </w:r>
    </w:p>
    <w:p>
      <w:pPr>
        <w:pBdr>
          <w:bottom w:val="single" w:color="1B4F72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Client Meeting Recap — March 3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substantive meeting with David. Key takeaways: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Strategy validated: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David confirmed privacy/nominee services are the #1 focus — formation is secondary. Our intent-first architecture is exactly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Anderson is primary competitor: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They recently moved to phone-only sales, opening the door for Incorporate123's transparent self-service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branding constraints: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 creative freedom for the redesign. No legacy logos or colors to preserve.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 audience: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Business owners/entrepreneurs with $500K+ in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Referral-heavy acquisition: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Site needs to function as a trust validator, not just lead 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CRM/mail merge need: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David has a pain point with database-to-Word mail merge (~100 fields). Potential upsell opportunity.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Stripe processing: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Hong Kong-based — may affect checkout UX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Meeting cadence set: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2x/week, ~30 min, mornings PST. No Fridays.</w:t>
      </w:r>
    </w:p>
    <w:p>
      <w:pPr>
        <w:pBdr>
          <w:bottom w:val="single" w:color="1B4F72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Pending: Formal Phase 1 Sign-Off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 sign-off is the gate to unlocking Phase 2. The stakeholder alignment meeting with David still needs to be scheduled. Four open strategic decisions require his input: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.co (current) vs. .com — David owns both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Package tier naming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Gold/Silver/Bronze structure and what's included at each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 pillar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deep to go on annual reports, BOI, registered agent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 consolidation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for 20+ owned domains — redirect, park, or develop</w:t>
            </w:r>
          </w:p>
        </w:tc>
      </w:tr>
    </w:tbl>
    <w:p>
      <w:pPr>
        <w:pBdr>
          <w:bottom w:val="single" w:color="1B4F72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Phase 2 Readiness — UX &amp; Prototyping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sign-off is secured, Phase 2 kicks off immediately with five parallel workstreams (~436–496 hours over 10 weeks):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Prototype stack: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Next.js + Tailwind CSS, deployed to Vercel for live client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Build order: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Foundation (design tokens, nav) → Core templates (Homepage, Pillar, Package) → Supporting templates → Checkout flow → Polish &amp; 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 CMS template types: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Homepage, Pillar, Cluster, Package Detail, Comparison, State Hub, Resource/FAQ, Checkout, Utility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CMS decision still open: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Payload CMS vs. headless WordPress — needs to be confirmed before dev begins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Content production 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~71 pages need content. Who owns this? Needs clarity.</w:t>
      </w:r>
    </w:p>
    <w:p>
      <w:pPr>
        <w:pBdr>
          <w:bottom w:val="single" w:color="1B4F72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 Items for Jeff's Input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CRM upsell: </w:t>
      </w:r>
      <w:r>
        <w:rPr>
          <w:rFonts w:ascii="Arial" w:cs="Arial" w:eastAsia="Arial" w:hAnsi="Arial"/>
          <w:sz w:val="20"/>
          <w:szCs w:val="20"/>
        </w:rPr>
        <w:t xml:space="preserve">David's mail merge pain point is a potential Phase 2+ project. Worth scoping?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Anderson competitive refresh: </w:t>
      </w:r>
      <w:r>
        <w:rPr>
          <w:rFonts w:ascii="Arial" w:cs="Arial" w:eastAsia="Arial" w:hAnsi="Arial"/>
          <w:sz w:val="20"/>
          <w:szCs w:val="20"/>
        </w:rPr>
        <w:t xml:space="preserve">Their site has changed significantly. Should we update our analysis before the client walkthrough?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ownership: </w:t>
      </w:r>
      <w:r>
        <w:rPr>
          <w:rFonts w:ascii="Arial" w:cs="Arial" w:eastAsia="Arial" w:hAnsi="Arial"/>
          <w:sz w:val="20"/>
          <w:szCs w:val="20"/>
        </w:rPr>
        <w:t xml:space="preserve">71 pages of content across 4 pillars. Are we producing this, is David, or hybrid? This is the biggest risk to the timeline.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Sign-off meeting timing: </w:t>
      </w:r>
      <w:r>
        <w:rPr>
          <w:rFonts w:ascii="Arial" w:cs="Arial" w:eastAsia="Arial" w:hAnsi="Arial"/>
          <w:sz w:val="20"/>
          <w:szCs w:val="20"/>
        </w:rPr>
        <w:t xml:space="preserve">I have all materials ready. Should I schedule the stakeholder alignment meeting with David for next week?</w:t>
      </w:r>
    </w:p>
    <w:p>
      <w:pPr>
        <w:pBdr>
          <w:bottom w:val="single" w:color="1B4F72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 formal stakeholder alignment meeting with David (75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Anderson Advisors competitive analysis against their current 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content production responsibility and timeline impact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Await David's sample mail merge document to scope CRM opportunity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Begin Phase 2 prototype setup once sign-off is secured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2026-03-04T18:58:38.205Z</dcterms:created>
  <dcterms:modified xsi:type="dcterms:W3CDTF">2026-03-04T18:58:38.206Z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