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David's Discovery Report Comments</w:t>
      </w:r>
    </w:p>
    <w:p>
      <w:r>
        <w:t>Date: March 2026</w:t>
      </w:r>
    </w:p>
    <w:p>
      <w:r>
        <w:t>From: BIT Studios (Alex)</w:t>
      </w:r>
    </w:p>
    <w:p>
      <w:r>
        <w:t>Re: Phase 1 Discovery Report — Your Review Comments (2026-03-11)</w:t>
      </w:r>
    </w:p>
    <w:p>
      <w:pPr>
        <w:jc w:val="center"/>
      </w:pPr>
      <w:r>
        <w:rPr>
          <w:color w:val="CCCCCC"/>
          <w:sz w:val="16"/>
        </w:rPr>
        <w:t>────────────────────────────────────────</w:t>
      </w:r>
    </w:p>
    <w:p>
      <w:r>
        <w:t>David,</w:t>
      </w:r>
    </w:p>
    <w:p>
      <w:r>
        <w:t>Thank you for the thorough review. Your comments caught several things we got wrong and added business context that makes the architecture stronger. Here's our response to each point, along with what we've changed.</w:t>
      </w:r>
    </w:p>
    <w:p>
      <w:pPr>
        <w:jc w:val="center"/>
      </w:pPr>
      <w:r>
        <w:rPr>
          <w:color w:val="CCCCCC"/>
          <w:sz w:val="16"/>
        </w:rPr>
        <w:t>────────────────────────────────────────</w:t>
      </w:r>
    </w:p>
    <w:p>
      <w:pPr>
        <w:pStyle w:val="Heading2"/>
      </w:pPr>
      <w:r>
        <w:t>1. "34 new pages — missed or terminology difference"</w:t>
      </w:r>
    </w:p>
    <w:p>
      <w:r>
        <w:t>You're right. We overcounted "new" pages. Several pages we classified as "New" actually have existing content on your current site that we should have flagged as "Enhance" or "Consolidate." We've reclassified the following: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Originally "New"</w:t>
            </w:r>
          </w:p>
        </w:tc>
        <w:tc>
          <w:tcPr>
            <w:tcW w:type="dxa" w:w="3120"/>
          </w:tcPr>
          <w:p>
            <w:r>
              <w:rPr>
                <w:b/>
                <w:sz w:val="20"/>
              </w:rPr>
              <w:t>Your Existing Page</w:t>
            </w:r>
          </w:p>
        </w:tc>
        <w:tc>
          <w:tcPr>
            <w:tcW w:type="dxa" w:w="3120"/>
          </w:tcPr>
          <w:p>
            <w:r>
              <w:rPr>
                <w:b/>
                <w:sz w:val="20"/>
              </w:rPr>
              <w:t>New Classification</w:t>
            </w:r>
          </w:p>
        </w:tc>
      </w:tr>
      <w:tr>
        <w:tc>
          <w:tcPr>
            <w:tcW w:type="dxa" w:w="3120"/>
          </w:tcPr>
          <w:p>
            <w:r>
              <w:rPr>
                <w:sz w:val="20"/>
              </w:rPr>
              <w:t>Asset Protection Hub</w:t>
            </w:r>
          </w:p>
        </w:tc>
        <w:tc>
          <w:tcPr>
            <w:tcW w:type="dxa" w:w="3120"/>
          </w:tcPr>
          <w:p>
            <w:r>
              <w:rPr>
                <w:sz w:val="20"/>
              </w:rPr>
              <w:t>/asset-protection/</w:t>
            </w:r>
          </w:p>
        </w:tc>
        <w:tc>
          <w:tcPr>
            <w:tcW w:type="dxa" w:w="3120"/>
          </w:tcPr>
          <w:p>
            <w:r>
              <w:rPr>
                <w:sz w:val="20"/>
              </w:rPr>
              <w:t>Existing — Major Enhancement</w:t>
            </w:r>
          </w:p>
        </w:tc>
      </w:tr>
      <w:tr>
        <w:tc>
          <w:tcPr>
            <w:tcW w:type="dxa" w:w="3120"/>
          </w:tcPr>
          <w:p>
            <w:r>
              <w:rPr>
                <w:sz w:val="20"/>
              </w:rPr>
              <w:t>Charging Order page</w:t>
            </w:r>
          </w:p>
        </w:tc>
        <w:tc>
          <w:tcPr>
            <w:tcW w:type="dxa" w:w="3120"/>
          </w:tcPr>
          <w:p>
            <w:r>
              <w:rPr>
                <w:sz w:val="20"/>
              </w:rPr>
              <w:t>/learning-center/cat/27</w:t>
            </w:r>
          </w:p>
        </w:tc>
        <w:tc>
          <w:tcPr>
            <w:tcW w:type="dxa" w:w="3120"/>
          </w:tcPr>
          <w:p>
            <w:r>
              <w:rPr>
                <w:sz w:val="20"/>
              </w:rPr>
              <w:t>Consolidate + Enhance</w:t>
            </w:r>
          </w:p>
        </w:tc>
      </w:tr>
      <w:tr>
        <w:tc>
          <w:tcPr>
            <w:tcW w:type="dxa" w:w="3120"/>
          </w:tcPr>
          <w:p>
            <w:r>
              <w:rPr>
                <w:sz w:val="20"/>
              </w:rPr>
              <w:t>Anonymous LLC Guide</w:t>
            </w:r>
          </w:p>
        </w:tc>
        <w:tc>
          <w:tcPr>
            <w:tcW w:type="dxa" w:w="3120"/>
          </w:tcPr>
          <w:p>
            <w:r>
              <w:rPr>
                <w:sz w:val="20"/>
              </w:rPr>
              <w:t>/asset-protection/investment-holding-llc/ (similar)</w:t>
            </w:r>
          </w:p>
        </w:tc>
        <w:tc>
          <w:tcPr>
            <w:tcW w:type="dxa" w:w="3120"/>
          </w:tcPr>
          <w:p>
            <w:r>
              <w:rPr>
                <w:sz w:val="20"/>
              </w:rPr>
              <w:t>Repurpose + Expand</w:t>
            </w:r>
          </w:p>
        </w:tc>
      </w:tr>
      <w:tr>
        <w:tc>
          <w:tcPr>
            <w:tcW w:type="dxa" w:w="3120"/>
          </w:tcPr>
          <w:p>
            <w:r>
              <w:rPr>
                <w:sz w:val="20"/>
              </w:rPr>
              <w:t>Nominee Services</w:t>
            </w:r>
          </w:p>
        </w:tc>
        <w:tc>
          <w:tcPr>
            <w:tcW w:type="dxa" w:w="3120"/>
          </w:tcPr>
          <w:p>
            <w:r>
              <w:rPr>
                <w:sz w:val="20"/>
              </w:rPr>
              <w:t>/services/privacy-services/</w:t>
            </w:r>
          </w:p>
        </w:tc>
        <w:tc>
          <w:tcPr>
            <w:tcW w:type="dxa" w:w="3120"/>
          </w:tcPr>
          <w:p>
            <w:r>
              <w:rPr>
                <w:sz w:val="20"/>
              </w:rPr>
              <w:t>Existing — Major Enhancement</w:t>
            </w:r>
          </w:p>
        </w:tc>
      </w:tr>
      <w:tr>
        <w:tc>
          <w:tcPr>
            <w:tcW w:type="dxa" w:w="3120"/>
          </w:tcPr>
          <w:p>
            <w:r>
              <w:rPr>
                <w:sz w:val="20"/>
              </w:rPr>
              <w:t>Compliance Hub</w:t>
            </w:r>
          </w:p>
        </w:tc>
        <w:tc>
          <w:tcPr>
            <w:tcW w:type="dxa" w:w="3120"/>
          </w:tcPr>
          <w:p>
            <w:r>
              <w:rPr>
                <w:sz w:val="20"/>
              </w:rPr>
              <w:t>/services/records-only + related</w:t>
            </w:r>
          </w:p>
        </w:tc>
        <w:tc>
          <w:tcPr>
            <w:tcW w:type="dxa" w:w="3120"/>
          </w:tcPr>
          <w:p>
            <w:r>
              <w:rPr>
                <w:sz w:val="20"/>
              </w:rPr>
              <w:t>Existing — Rebrand &amp; Expand</w:t>
            </w:r>
          </w:p>
        </w:tc>
      </w:tr>
    </w:tbl>
    <w:p/>
    <w:p>
      <w:r>
        <w:t>The revised count is ~27 truly new pages (down from 34). The pages still need to exist in the new architecture — but we're building on your existing content, not starting from scratch.</w:t>
      </w:r>
    </w:p>
    <w:p>
      <w:pPr>
        <w:jc w:val="center"/>
      </w:pPr>
      <w:r>
        <w:rPr>
          <w:color w:val="CCCCCC"/>
          <w:sz w:val="16"/>
        </w:rPr>
        <w:t>────────────────────────────────────────</w:t>
      </w:r>
    </w:p>
    <w:p>
      <w:pPr>
        <w:pStyle w:val="Heading2"/>
      </w:pPr>
      <w:r>
        <w:t>2. Asset Protection Hub exists</w:t>
      </w:r>
    </w:p>
    <w:p>
      <w:r>
        <w:t>Agreed. Your /asset-protection/ and /asset-protection/nevada-asset-protection/ pages are the foundation. We've reclassified the AP Hub from "New" to "Existing — Major Enhancement" in the migration map. Our job is to restructure and expand it within the new pillar framework, not create it from nothing.</w:t>
      </w:r>
    </w:p>
    <w:p>
      <w:pPr>
        <w:jc w:val="center"/>
      </w:pPr>
      <w:r>
        <w:rPr>
          <w:color w:val="CCCCCC"/>
          <w:sz w:val="16"/>
        </w:rPr>
        <w:t>────────────────────────────────────────</w:t>
      </w:r>
    </w:p>
    <w:p>
      <w:pPr>
        <w:pStyle w:val="Heading2"/>
      </w:pPr>
      <w:r>
        <w:t>3. Charging Order page — must reference Privacy too</w:t>
      </w:r>
    </w:p>
    <w:p>
      <w:r>
        <w:t>Agreed, and this is a great insight. You're right that privacy often eliminates the need for courts entirely — charging order protection is the legal backstop, but privacy is the prevention. We've added a content brief note for the Charging Order page:</w:t>
      </w:r>
    </w:p>
    <w:p>
      <w:pPr>
        <w:pStyle w:val="ListBullet"/>
      </w:pPr>
      <w:r>
        <w:t>Lead with "privacy-as-prevention" framing</w:t>
      </w:r>
    </w:p>
    <w:p>
      <w:pPr>
        <w:pStyle w:val="ListBullet"/>
      </w:pPr>
      <w:r>
        <w:t>Position charging order protection as the legal backstop when privacy alone isn't enough</w:t>
      </w:r>
    </w:p>
    <w:p>
      <w:pPr>
        <w:pStyle w:val="ListBullet"/>
      </w:pPr>
      <w:r>
        <w:t>Include prominent cross-links to the Privacy pillar throughout</w:t>
      </w:r>
    </w:p>
    <w:p>
      <w:r>
        <w:t>The page stays in the Asset Protection pillar (correct structural placement), but the content will consistently reference privacy as the first line of defense.</w:t>
      </w:r>
    </w:p>
    <w:p>
      <w:pPr>
        <w:jc w:val="center"/>
      </w:pPr>
      <w:r>
        <w:rPr>
          <w:color w:val="CCCCCC"/>
          <w:sz w:val="16"/>
        </w:rPr>
        <w:t>────────────────────────────────────────</w:t>
      </w:r>
    </w:p>
    <w:p>
      <w:pPr>
        <w:pStyle w:val="Heading2"/>
      </w:pPr>
      <w:r>
        <w:t>4. Investment Holding LLC ≈ Anonymous LLC overlap</w:t>
      </w:r>
    </w:p>
    <w:p>
      <w:r>
        <w:t>Partially agreed. You're right that the existing content overlaps. Our recommendation: keep both pages but differentiate clearly by intent:</w:t>
      </w:r>
    </w:p>
    <w:p>
      <w:pPr>
        <w:pStyle w:val="ListBullet"/>
      </w:pPr>
      <w:r/>
      <w:r>
        <w:rPr>
          <w:b/>
        </w:rPr>
        <w:t>Anonymous LLC</w:t>
      </w:r>
      <w:r>
        <w:t xml:space="preserve"> (Privacy pillar) = "How to form an LLC where your name doesn't appear" — privacy intent</w:t>
      </w:r>
    </w:p>
    <w:p>
      <w:pPr>
        <w:pStyle w:val="ListBullet"/>
      </w:pPr>
      <w:r/>
      <w:r>
        <w:rPr>
          <w:b/>
        </w:rPr>
        <w:t>Investment Holding LLC</w:t>
      </w:r>
      <w:r>
        <w:t xml:space="preserve"> (Asset Protection pillar) = "How to structure holdings across entities for wealth protection" — asset protection intent</w:t>
      </w:r>
    </w:p>
    <w:p>
      <w:r>
        <w:t>Your existing /asset-protection/investment-holding-llc/ content becomes source material for both pages, with distinct angles for each. This preserves SEO targeting for both keyword sets while acknowledging the content overlap.</w:t>
      </w:r>
    </w:p>
    <w:p>
      <w:pPr>
        <w:jc w:val="center"/>
      </w:pPr>
      <w:r>
        <w:rPr>
          <w:color w:val="CCCCCC"/>
          <w:sz w:val="16"/>
        </w:rPr>
        <w:t>────────────────────────────────────────</w:t>
      </w:r>
    </w:p>
    <w:p>
      <w:pPr>
        <w:pStyle w:val="Heading2"/>
      </w:pPr>
      <w:r>
        <w:t>5. Nominee Services page exists</w:t>
      </w:r>
    </w:p>
    <w:p>
      <w:r>
        <w:t>Agreed on existence. Your /services/privacy-services/ page covers nominee services. But our strategic point stands — nominee services are your #1 differentiator and deserve a dedicated, SEO-optimized page rather than being bundled with other privacy offerings.</w:t>
      </w:r>
    </w:p>
    <w:p>
      <w:r>
        <w:t>We've reclassified from "New" to "Existing — Major Enhancement &amp; Repositioning." The existing content is the foundation; we're elevating it into a flagship page.</w:t>
      </w:r>
    </w:p>
    <w:p>
      <w:pPr>
        <w:jc w:val="center"/>
      </w:pPr>
      <w:r>
        <w:rPr>
          <w:color w:val="CCCCCC"/>
          <w:sz w:val="16"/>
        </w:rPr>
        <w:t>────────────────────────────────────────</w:t>
      </w:r>
    </w:p>
    <w:p>
      <w:pPr>
        <w:pStyle w:val="Heading2"/>
      </w:pPr>
      <w:r>
        <w:t>6. Compliance Pillar = records-only + related pages</w:t>
      </w:r>
    </w:p>
    <w:p>
      <w:r>
        <w:t>Agreed — and your suggestion is better than our original plan. You identified existing pages we should bring under the Compliance umbrella:</w:t>
      </w:r>
    </w:p>
    <w:p>
      <w:pPr>
        <w:pStyle w:val="ListBullet"/>
      </w:pPr>
      <w:r>
        <w:t>/services/records-only → Compliance Hub (rebrand &amp; expand)</w:t>
      </w:r>
    </w:p>
    <w:p>
      <w:pPr>
        <w:pStyle w:val="ListBullet"/>
      </w:pPr>
      <w:r>
        <w:t>/services/registered-agent → Registered Agent cluster</w:t>
      </w:r>
    </w:p>
    <w:p>
      <w:pPr>
        <w:pStyle w:val="ListBullet"/>
      </w:pPr>
      <w:r>
        <w:t xml:space="preserve">/services/2nd-tier-state-filings → </w:t>
      </w:r>
      <w:r>
        <w:rPr>
          <w:b/>
        </w:rPr>
        <w:t>New cluster: 2nd-Tier State Filings</w:t>
      </w:r>
      <w:r>
        <w:t xml:space="preserve"> (added)</w:t>
      </w:r>
    </w:p>
    <w:p>
      <w:pPr>
        <w:pStyle w:val="ListBullet"/>
      </w:pPr>
      <w:r>
        <w:t xml:space="preserve">/services/shares → </w:t>
      </w:r>
      <w:r>
        <w:rPr>
          <w:b/>
        </w:rPr>
        <w:t>New cluster: Shares &amp; Corporate Records</w:t>
      </w:r>
      <w:r>
        <w:t xml:space="preserve"> (added)</w:t>
      </w:r>
    </w:p>
    <w:p>
      <w:r>
        <w:t>We've expanded the Compliance pillar from 7 to 9 pages and mapped your suggested source pages into the migration plan.</w:t>
      </w:r>
    </w:p>
    <w:p>
      <w:pPr>
        <w:jc w:val="center"/>
      </w:pPr>
      <w:r>
        <w:rPr>
          <w:color w:val="CCCCCC"/>
          <w:sz w:val="16"/>
        </w:rPr>
        <w:t>────────────────────────────────────────</w:t>
      </w:r>
    </w:p>
    <w:p>
      <w:pPr>
        <w:pStyle w:val="Heading2"/>
      </w:pPr>
      <w:r>
        <w:t>7. BOI/CTA Compliance Guide — NOT necessary</w:t>
      </w:r>
    </w:p>
    <w:p>
      <w:r>
        <w:t>Agreed — dropped entirely. You have current regulatory knowledge we didn't have when we wrote the report. With the BOI requirements stayed by executive action and now only applying to foreign companies registering in the US, this content isn't relevant to your target audience.</w:t>
      </w:r>
    </w:p>
    <w:p>
      <w:r>
        <w:t>We've removed the BOI/CTA Compliance Guide from:</w:t>
      </w:r>
    </w:p>
    <w:p>
      <w:pPr>
        <w:pStyle w:val="ListBullet"/>
      </w:pPr>
      <w:r>
        <w:t>The site architecture</w:t>
      </w:r>
    </w:p>
    <w:p>
      <w:pPr>
        <w:pStyle w:val="ListBullet"/>
      </w:pPr>
      <w:r>
        <w:t>The gap analysis</w:t>
      </w:r>
    </w:p>
    <w:p>
      <w:pPr>
        <w:pStyle w:val="ListBullet"/>
      </w:pPr>
      <w:r>
        <w:t>The prototype navigation and data</w:t>
      </w:r>
    </w:p>
    <w:p>
      <w:r>
        <w:t>Note: We've retained brief factual mentions of BOI in FAQ answers where visitors might search for it (e.g., "Can the government find out who owns my LLC?"), but there is no longer a dedicated page or navigation entry.</w:t>
      </w:r>
    </w:p>
    <w:p>
      <w:pPr>
        <w:jc w:val="center"/>
      </w:pPr>
      <w:r>
        <w:rPr>
          <w:color w:val="CCCCCC"/>
          <w:sz w:val="16"/>
        </w:rPr>
        <w:t>────────────────────────────────────────</w:t>
      </w:r>
    </w:p>
    <w:p>
      <w:pPr>
        <w:pStyle w:val="Heading2"/>
      </w:pPr>
      <w:r>
        <w:t>8. Trust Signals — office photos and founder credibility</w:t>
      </w:r>
    </w:p>
    <w:p>
      <w:r>
        <w:t>Agreed — completely reworked. We made incorrect assumptions about the business structure. All references to the following have been removed:</w:t>
      </w:r>
    </w:p>
    <w:p>
      <w:pPr>
        <w:pStyle w:val="ListBullet"/>
      </w:pPr>
      <w:r>
        <w:t>~~Real Reno office photography~~</w:t>
      </w:r>
    </w:p>
    <w:p>
      <w:pPr>
        <w:pStyle w:val="ListBullet"/>
      </w:pPr>
      <w:r>
        <w:t>~~Founder name, bio, personal details~~</w:t>
      </w:r>
    </w:p>
    <w:p>
      <w:pPr>
        <w:pStyle w:val="ListBullet"/>
      </w:pPr>
      <w:r>
        <w:t>~~"Visit our office" messaging~~</w:t>
      </w:r>
    </w:p>
    <w:p>
      <w:r>
        <w:t>Revised trust signal strategy: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Signal</w:t>
            </w:r>
          </w:p>
        </w:tc>
        <w:tc>
          <w:tcPr>
            <w:tcW w:type="dxa" w:w="4680"/>
          </w:tcPr>
          <w:p>
            <w:r>
              <w:rPr>
                <w:b/>
                <w:sz w:val="20"/>
              </w:rPr>
              <w:t>Implementation</w:t>
            </w:r>
          </w:p>
        </w:tc>
      </w:tr>
      <w:tr>
        <w:tc>
          <w:tcPr>
            <w:tcW w:type="dxa" w:w="4680"/>
          </w:tcPr>
          <w:p>
            <w:r>
              <w:rPr>
                <w:sz w:val="20"/>
              </w:rPr>
              <w:t>25+ Years of Specialized Experience</w:t>
            </w:r>
          </w:p>
        </w:tc>
        <w:tc>
          <w:tcPr>
            <w:tcW w:type="dxa" w:w="4680"/>
          </w:tcPr>
          <w:p>
            <w:r>
              <w:rPr>
                <w:sz w:val="20"/>
              </w:rPr>
              <w:t>Header/hero — factual, no personal details needed</w:t>
            </w:r>
          </w:p>
        </w:tc>
      </w:tr>
      <w:tr>
        <w:tc>
          <w:tcPr>
            <w:tcW w:type="dxa" w:w="4680"/>
          </w:tcPr>
          <w:p>
            <w:r>
              <w:rPr>
                <w:sz w:val="20"/>
              </w:rPr>
              <w:t>Trustpilot Reviews</w:t>
            </w:r>
          </w:p>
        </w:tc>
        <w:tc>
          <w:tcPr>
            <w:tcW w:type="dxa" w:w="4680"/>
          </w:tcPr>
          <w:p>
            <w:r>
              <w:rPr>
                <w:sz w:val="20"/>
              </w:rPr>
              <w:t>You're already working on this — we'll integrate the widget</w:t>
            </w:r>
          </w:p>
        </w:tc>
      </w:tr>
      <w:tr>
        <w:tc>
          <w:tcPr>
            <w:tcW w:type="dxa" w:w="4680"/>
          </w:tcPr>
          <w:p>
            <w:r>
              <w:rPr>
                <w:sz w:val="20"/>
              </w:rPr>
              <w:t>Entities Formed Track Record</w:t>
            </w:r>
          </w:p>
        </w:tc>
        <w:tc>
          <w:tcPr>
            <w:tcW w:type="dxa" w:w="4680"/>
          </w:tcPr>
          <w:p>
            <w:r>
              <w:rPr>
                <w:sz w:val="20"/>
              </w:rPr>
              <w:t>Anonymized metrics (e.g., "Thousands of entities formed")</w:t>
            </w:r>
          </w:p>
        </w:tc>
      </w:tr>
      <w:tr>
        <w:tc>
          <w:tcPr>
            <w:tcW w:type="dxa" w:w="4680"/>
          </w:tcPr>
          <w:p>
            <w:r>
              <w:rPr>
                <w:sz w:val="20"/>
              </w:rPr>
              <w:t>30-Day Money-Back Guarantee</w:t>
            </w:r>
          </w:p>
        </w:tc>
        <w:tc>
          <w:tcPr>
            <w:tcW w:type="dxa" w:w="4680"/>
          </w:tcPr>
          <w:p>
            <w:r>
              <w:rPr>
                <w:sz w:val="20"/>
              </w:rPr>
              <w:t>Badge on all package pages</w:t>
            </w:r>
          </w:p>
        </w:tc>
      </w:tr>
      <w:tr>
        <w:tc>
          <w:tcPr>
            <w:tcW w:type="dxa" w:w="4680"/>
          </w:tcPr>
          <w:p>
            <w:r>
              <w:rPr>
                <w:sz w:val="20"/>
              </w:rPr>
              <w:t>Expert Team Messaging</w:t>
            </w:r>
          </w:p>
        </w:tc>
        <w:tc>
          <w:tcPr>
            <w:tcW w:type="dxa" w:w="4680"/>
          </w:tcPr>
          <w:p>
            <w:r>
              <w:rPr>
                <w:sz w:val="20"/>
              </w:rPr>
              <w:t>"Speak directly with a privacy specialist" — no individual names</w:t>
            </w:r>
          </w:p>
        </w:tc>
      </w:tr>
      <w:tr>
        <w:tc>
          <w:tcPr>
            <w:tcW w:type="dxa" w:w="4680"/>
          </w:tcPr>
          <w:p>
            <w:r>
              <w:rPr>
                <w:sz w:val="20"/>
              </w:rPr>
              <w:t>Crypto Payments</w:t>
            </w:r>
          </w:p>
        </w:tc>
        <w:tc>
          <w:tcPr>
            <w:tcW w:type="dxa" w:w="4680"/>
          </w:tcPr>
          <w:p>
            <w:r>
              <w:rPr>
                <w:sz w:val="20"/>
              </w:rPr>
              <w:t>Bitcoin, Ethereum, XRP badges — signals privacy alignment</w:t>
            </w:r>
          </w:p>
        </w:tc>
      </w:tr>
      <w:tr>
        <w:tc>
          <w:tcPr>
            <w:tcW w:type="dxa" w:w="4680"/>
          </w:tcPr>
          <w:p>
            <w:r>
              <w:rPr>
                <w:sz w:val="20"/>
              </w:rPr>
              <w:t>Phone Support</w:t>
            </w:r>
          </w:p>
        </w:tc>
        <w:tc>
          <w:tcPr>
            <w:tcW w:type="dxa" w:w="4680"/>
          </w:tcPr>
          <w:p>
            <w:r>
              <w:rPr>
                <w:sz w:val="20"/>
              </w:rPr>
              <w:t>Prominent phone number — "Talk to a real person"</w:t>
            </w:r>
          </w:p>
        </w:tc>
      </w:tr>
      <w:tr>
        <w:tc>
          <w:tcPr>
            <w:tcW w:type="dxa" w:w="4680"/>
          </w:tcPr>
          <w:p>
            <w:r>
              <w:rPr>
                <w:sz w:val="20"/>
              </w:rPr>
              <w:t>All-Inclusive Pricing</w:t>
            </w:r>
          </w:p>
        </w:tc>
        <w:tc>
          <w:tcPr>
            <w:tcW w:type="dxa" w:w="4680"/>
          </w:tcPr>
          <w:p>
            <w:r>
              <w:rPr>
                <w:sz w:val="20"/>
              </w:rPr>
              <w:t>Transparent pricing as a trust signal itself</w:t>
            </w:r>
          </w:p>
        </w:tc>
      </w:tr>
    </w:tbl>
    <w:p/>
    <w:p>
      <w:r>
        <w:t>The About page now focuses on the company's 25-year track record and specialized expertise rather than any individual. The contact page emphasizes direct phone support and specialist access.</w:t>
      </w:r>
    </w:p>
    <w:p>
      <w:pPr>
        <w:jc w:val="center"/>
      </w:pPr>
      <w:r>
        <w:rPr>
          <w:color w:val="CCCCCC"/>
          <w:sz w:val="16"/>
        </w:rPr>
        <w:t>────────────────────────────────────────</w:t>
      </w:r>
    </w:p>
    <w:p>
      <w:pPr>
        <w:pStyle w:val="Heading2"/>
      </w:pPr>
      <w:r>
        <w:t>9. URL: Stick with incorporate123.co</w:t>
      </w:r>
    </w:p>
    <w:p>
      <w:r>
        <w:t>Agreed. We've reversed the domain recommendation:</w:t>
      </w:r>
    </w:p>
    <w:p>
      <w:pPr>
        <w:pStyle w:val="ListBullet"/>
      </w:pPr>
      <w:r/>
      <w:r>
        <w:rPr>
          <w:b/>
        </w:rPr>
        <w:t>Primary domain:</w:t>
      </w:r>
      <w:r>
        <w:t xml:space="preserve"> incorporate123.co (no change needed)</w:t>
      </w:r>
    </w:p>
    <w:p>
      <w:pPr>
        <w:pStyle w:val="ListBullet"/>
      </w:pPr>
      <w:r/>
      <w:r>
        <w:rPr>
          <w:b/>
        </w:rPr>
        <w:t>Redirect:</w:t>
      </w:r>
      <w:r>
        <w:t xml:space="preserve"> incorporate123.com → incorporate123.co (capture type-in traffic)</w:t>
      </w:r>
    </w:p>
    <w:p>
      <w:pPr>
        <w:pStyle w:val="ListBullet"/>
      </w:pPr>
      <w:r/>
      <w:r>
        <w:rPr>
          <w:b/>
        </w:rPr>
        <w:t>All secondary domains</w:t>
      </w:r>
      <w:r>
        <w:t xml:space="preserve"> (offshore123.com, wyoming123.com, nevada123.com, etc.) redirect to .co</w:t>
      </w:r>
    </w:p>
    <w:p>
      <w:r>
        <w:t>The SEO benefit of .com over .co is negligible in 2026 — Google treats all TLDs equally. This also eliminates the domain migration risk from our risk register entirely.</w:t>
      </w:r>
    </w:p>
    <w:p>
      <w:pPr>
        <w:jc w:val="center"/>
      </w:pPr>
      <w:r>
        <w:rPr>
          <w:color w:val="CCCCCC"/>
          <w:sz w:val="16"/>
        </w:rPr>
        <w:t>────────────────────────────────────────</w:t>
      </w:r>
    </w:p>
    <w:p>
      <w:pPr>
        <w:pStyle w:val="Heading2"/>
      </w:pPr>
      <w:r>
        <w:t>Summary of Changes Made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Area</w:t>
            </w:r>
          </w:p>
        </w:tc>
        <w:tc>
          <w:tcPr>
            <w:tcW w:type="dxa" w:w="4680"/>
          </w:tcPr>
          <w:p>
            <w:r>
              <w:rPr>
                <w:b/>
                <w:sz w:val="20"/>
              </w:rPr>
              <w:t>Change</w:t>
            </w:r>
          </w:p>
        </w:tc>
      </w:tr>
      <w:tr>
        <w:tc>
          <w:tcPr>
            <w:tcW w:type="dxa" w:w="4680"/>
          </w:tcPr>
          <w:p>
            <w:r>
              <w:rPr>
                <w:sz w:val="20"/>
              </w:rPr>
              <w:t>New page count</w:t>
            </w:r>
          </w:p>
        </w:tc>
        <w:tc>
          <w:tcPr>
            <w:tcW w:type="dxa" w:w="4680"/>
          </w:tcPr>
          <w:p>
            <w:r>
              <w:rPr>
                <w:sz w:val="20"/>
              </w:rPr>
              <w:t>34 → ~27 (reclassified 7 pages with existing content)</w:t>
            </w:r>
          </w:p>
        </w:tc>
      </w:tr>
      <w:tr>
        <w:tc>
          <w:tcPr>
            <w:tcW w:type="dxa" w:w="4680"/>
          </w:tcPr>
          <w:p>
            <w:r>
              <w:rPr>
                <w:sz w:val="20"/>
              </w:rPr>
              <w:t>BOI/CTA page</w:t>
            </w:r>
          </w:p>
        </w:tc>
        <w:tc>
          <w:tcPr>
            <w:tcW w:type="dxa" w:w="4680"/>
          </w:tcPr>
          <w:p>
            <w:r>
              <w:rPr>
                <w:sz w:val="20"/>
              </w:rPr>
              <w:t>Removed entirely</w:t>
            </w:r>
          </w:p>
        </w:tc>
      </w:tr>
      <w:tr>
        <w:tc>
          <w:tcPr>
            <w:tcW w:type="dxa" w:w="4680"/>
          </w:tcPr>
          <w:p>
            <w:r>
              <w:rPr>
                <w:sz w:val="20"/>
              </w:rPr>
              <w:t>Compliance pillar</w:t>
            </w:r>
          </w:p>
        </w:tc>
        <w:tc>
          <w:tcPr>
            <w:tcW w:type="dxa" w:w="4680"/>
          </w:tcPr>
          <w:p>
            <w:r>
              <w:rPr>
                <w:sz w:val="20"/>
              </w:rPr>
              <w:t>Expanded from 7 → 9 pages (added 2nd-tier filings + shares)</w:t>
            </w:r>
          </w:p>
        </w:tc>
      </w:tr>
      <w:tr>
        <w:tc>
          <w:tcPr>
            <w:tcW w:type="dxa" w:w="4680"/>
          </w:tcPr>
          <w:p>
            <w:r>
              <w:rPr>
                <w:sz w:val="20"/>
              </w:rPr>
              <w:t>Trust signals</w:t>
            </w:r>
          </w:p>
        </w:tc>
        <w:tc>
          <w:tcPr>
            <w:tcW w:type="dxa" w:w="4680"/>
          </w:tcPr>
          <w:p>
            <w:r>
              <w:rPr>
                <w:sz w:val="20"/>
              </w:rPr>
              <w:t>Complete rewrite — anonymized, no office photos or founder details</w:t>
            </w:r>
          </w:p>
        </w:tc>
      </w:tr>
      <w:tr>
        <w:tc>
          <w:tcPr>
            <w:tcW w:type="dxa" w:w="4680"/>
          </w:tcPr>
          <w:p>
            <w:r>
              <w:rPr>
                <w:sz w:val="20"/>
              </w:rPr>
              <w:t>Domain strategy</w:t>
            </w:r>
          </w:p>
        </w:tc>
        <w:tc>
          <w:tcPr>
            <w:tcW w:type="dxa" w:w="4680"/>
          </w:tcPr>
          <w:p>
            <w:r>
              <w:rPr>
                <w:sz w:val="20"/>
              </w:rPr>
              <w:t>Reversed: .co is primary, .com redirects to .co</w:t>
            </w:r>
          </w:p>
        </w:tc>
      </w:tr>
      <w:tr>
        <w:tc>
          <w:tcPr>
            <w:tcW w:type="dxa" w:w="4680"/>
          </w:tcPr>
          <w:p>
            <w:r>
              <w:rPr>
                <w:sz w:val="20"/>
              </w:rPr>
              <w:t>Total architecture</w:t>
            </w:r>
          </w:p>
        </w:tc>
        <w:tc>
          <w:tcPr>
            <w:tcW w:type="dxa" w:w="4680"/>
          </w:tcPr>
          <w:p>
            <w:r>
              <w:rPr>
                <w:sz w:val="20"/>
              </w:rPr>
              <w:t>~71 pages (net unchanged after adds/removes)</w:t>
            </w:r>
          </w:p>
        </w:tc>
      </w:tr>
    </w:tbl>
    <w:p/>
    <w:p>
      <w:r>
        <w:t>All revised deliverables are in the v2 folder. Let us know if anything needs further adjustment.</w:t>
      </w:r>
    </w:p>
    <w:p>
      <w:r>
        <w:t>— Alex, BIT Studios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