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Brand Guide 2026</w:t>
      </w:r>
    </w:p>
    <w:p>
      <w:r>
        <w:t>v3.0 — March 2026 | Updated with David's feedback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01 — Brand Overview</w:t>
      </w:r>
    </w:p>
    <w:p>
      <w:r>
        <w:t>Company: Incorporate123</w:t>
      </w:r>
    </w:p>
    <w:p>
      <w:r>
        <w:t>Founded: ~2000 (25+ years)</w:t>
      </w:r>
    </w:p>
    <w:p>
      <w:r>
        <w:t>Location: Reno, Nevada (Kingsbury Executive Suites)</w:t>
      </w:r>
    </w:p>
    <w:p>
      <w:r>
        <w:t>Domain: incorporate123.co</w:t>
      </w:r>
    </w:p>
    <w:p>
      <w:pPr>
        <w:pStyle w:val="Heading3"/>
      </w:pPr>
      <w:r>
        <w:t>Positioning Statement</w:t>
      </w:r>
    </w:p>
    <w:p>
      <w:pPr>
        <w:ind w:left="720"/>
      </w:pPr>
      <w:r>
        <w:rPr>
          <w:i/>
        </w:rPr>
        <w:t>"Privacy, Asset Protection &amp; Business Formation Specialists"</w:t>
      </w:r>
    </w:p>
    <w:p>
      <w:r>
        <w:t>This is a deliberate repositioning. The company was previously a geography-first Nevada incorporation company. The new brand positions it in an unoccupied market space: the intersection of modern UX, privacy expertise, transparent pricing, and nominee services. No competitor successfully combines all four.</w:t>
      </w:r>
    </w:p>
    <w:p>
      <w:pPr>
        <w:pStyle w:val="Heading3"/>
      </w:pPr>
      <w:r>
        <w:t>What Incorporate123 IS</w:t>
      </w:r>
    </w:p>
    <w:p>
      <w:pPr>
        <w:pStyle w:val="ListBullet"/>
      </w:pPr>
      <w:r>
        <w:t>A 25-year privacy and formation specialist focused on Wyoming and Nevada</w:t>
      </w:r>
    </w:p>
    <w:p>
      <w:pPr>
        <w:pStyle w:val="ListBullet"/>
      </w:pPr>
      <w:r>
        <w:t>Premium but transparent — $1,275–$2,100 all-inclusive with no hidden fees</w:t>
      </w:r>
    </w:p>
    <w:p>
      <w:pPr>
        <w:pStyle w:val="ListBullet"/>
      </w:pPr>
      <w:r>
        <w:t>Expert-guided but self-service friendly — clients can buy directly or talk to a person</w:t>
      </w:r>
    </w:p>
    <w:p>
      <w:pPr>
        <w:pStyle w:val="ListBullet"/>
      </w:pPr>
      <w:r>
        <w:t>Privacy-first — year-round nominees, offshore records, cryptocurrency accepted</w:t>
      </w:r>
    </w:p>
    <w:p>
      <w:pPr>
        <w:pStyle w:val="Heading3"/>
      </w:pPr>
      <w:r>
        <w:t>What Incorporate123 is NOT</w:t>
      </w:r>
    </w:p>
    <w:p>
      <w:pPr>
        <w:pStyle w:val="ListBullet"/>
      </w:pPr>
      <w:r>
        <w:t>Not a budget $0 filing service (ZenBusiness, LegalZoom territory)</w:t>
      </w:r>
    </w:p>
    <w:p>
      <w:pPr>
        <w:pStyle w:val="ListBullet"/>
      </w:pPr>
      <w:r>
        <w:t>Not a consultation-gated premium firm ($2,750+ like Anderson Advisors)</w:t>
      </w:r>
    </w:p>
    <w:p>
      <w:pPr>
        <w:pStyle w:val="ListBullet"/>
      </w:pPr>
      <w:r>
        <w:t>Not a generic "all 50 states" formation mill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02 — Four Content Pillars</w:t>
      </w:r>
    </w:p>
    <w:p>
      <w:r>
        <w:t>The entire brand, site, and content are organized around four pillars. Each has its own identity color, messaging voice, and visual signature.</w:t>
      </w:r>
    </w:p>
    <w:p>
      <w:pPr>
        <w:pStyle w:val="Heading3"/>
      </w:pPr>
      <w:r>
        <w:t>Pillar 1: Business Privacy — LEAD PILLAR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Identity Color</w:t>
            </w:r>
          </w:p>
        </w:tc>
        <w:tc>
          <w:tcPr>
            <w:tcW w:type="dxa" w:w="4320"/>
          </w:tcPr>
          <w:p>
            <w:r>
              <w:t>Blue --pillar-privacy · #2563eb</w:t>
            </w:r>
          </w:p>
        </w:tc>
      </w:tr>
      <w:tr>
        <w:tc>
          <w:tcPr>
            <w:tcW w:type="dxa" w:w="4320"/>
          </w:tcPr>
          <w:p>
            <w:r>
              <w:t>Core Message</w:t>
            </w:r>
          </w:p>
        </w:tc>
        <w:tc>
          <w:tcPr>
            <w:tcW w:type="dxa" w:w="4320"/>
          </w:tcPr>
          <w:p>
            <w:r>
              <w:t>"Privacy You Can't Get Elsewhere — year-round nominees, offshore records, genuine anonymity"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"Protect Your Privacy"</w:t>
            </w:r>
          </w:p>
        </w:tc>
      </w:tr>
      <w:tr>
        <w:tc>
          <w:tcPr>
            <w:tcW w:type="dxa" w:w="4320"/>
          </w:tcPr>
          <w:p>
            <w:r>
              <w:t>Trust Element</w:t>
            </w:r>
          </w:p>
        </w:tc>
        <w:tc>
          <w:tcPr>
            <w:tcW w:type="dxa" w:w="4320"/>
          </w:tcPr>
          <w:p>
            <w:r>
              <w:t>"Year-round nominees included — not 'nominee for a day'"</w:t>
            </w:r>
          </w:p>
        </w:tc>
      </w:tr>
      <w:tr>
        <w:tc>
          <w:tcPr>
            <w:tcW w:type="dxa" w:w="4320"/>
          </w:tcPr>
          <w:p>
            <w:r>
              <w:t>Key Services</w:t>
            </w:r>
          </w:p>
        </w:tc>
        <w:tc>
          <w:tcPr>
            <w:tcW w:type="dxa" w:w="4320"/>
          </w:tcPr>
          <w:p>
            <w:r>
              <w:t>Anonymous LLC, Nominee Services, Private Incorporation (WY/NV/CA/FL), Offshore Privacy</w:t>
            </w:r>
          </w:p>
        </w:tc>
      </w:tr>
    </w:tbl>
    <w:p>
      <w:pPr>
        <w:pStyle w:val="Heading3"/>
      </w:pPr>
      <w:r>
        <w:t>Pillar 2: Asset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Identity Color</w:t>
            </w:r>
          </w:p>
        </w:tc>
        <w:tc>
          <w:tcPr>
            <w:tcW w:type="dxa" w:w="4320"/>
          </w:tcPr>
          <w:p>
            <w:r>
              <w:t>Green --pillar-asset · #16a34a</w:t>
            </w:r>
          </w:p>
        </w:tc>
      </w:tr>
      <w:tr>
        <w:tc>
          <w:tcPr>
            <w:tcW w:type="dxa" w:w="4320"/>
          </w:tcPr>
          <w:p>
            <w:r>
              <w:t>Core Message</w:t>
            </w:r>
          </w:p>
        </w:tc>
        <w:tc>
          <w:tcPr>
            <w:tcW w:type="dxa" w:w="4320"/>
          </w:tcPr>
          <w:p>
            <w:r>
              <w:t>"Protect What You've Built — charging order protection, holding structures, multi-entity strategies"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"Protect Your Assets"</w:t>
            </w:r>
          </w:p>
        </w:tc>
      </w:tr>
      <w:tr>
        <w:tc>
          <w:tcPr>
            <w:tcW w:type="dxa" w:w="4320"/>
          </w:tcPr>
          <w:p>
            <w:r>
              <w:t>Trust Element</w:t>
            </w:r>
          </w:p>
        </w:tc>
        <w:tc>
          <w:tcPr>
            <w:tcW w:type="dxa" w:w="4320"/>
          </w:tcPr>
          <w:p>
            <w:r>
              <w:t>"For individuals with $500K+ in assets"</w:t>
            </w:r>
          </w:p>
        </w:tc>
      </w:tr>
      <w:tr>
        <w:tc>
          <w:tcPr>
            <w:tcW w:type="dxa" w:w="4320"/>
          </w:tcPr>
          <w:p>
            <w:r>
              <w:t>Key Services</w:t>
            </w:r>
          </w:p>
        </w:tc>
        <w:tc>
          <w:tcPr>
            <w:tcW w:type="dxa" w:w="4320"/>
          </w:tcPr>
          <w:p>
            <w:r>
              <w:t>Charging Order Protection, WY/NV Asset Protection, Investment Holding LLC, Real Estate AP</w:t>
            </w:r>
          </w:p>
        </w:tc>
      </w:tr>
    </w:tbl>
    <w:p>
      <w:pPr>
        <w:pStyle w:val="Heading3"/>
      </w:pPr>
      <w:r>
        <w:t>Pillar 3: Company 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Identity Color</w:t>
            </w:r>
          </w:p>
        </w:tc>
        <w:tc>
          <w:tcPr>
            <w:tcW w:type="dxa" w:w="4320"/>
          </w:tcPr>
          <w:p>
            <w:r>
              <w:t>Amber --pillar-formation · #d97706</w:t>
            </w:r>
          </w:p>
        </w:tc>
      </w:tr>
      <w:tr>
        <w:tc>
          <w:tcPr>
            <w:tcW w:type="dxa" w:w="4320"/>
          </w:tcPr>
          <w:p>
            <w:r>
              <w:t>Core Message</w:t>
            </w:r>
          </w:p>
        </w:tc>
        <w:tc>
          <w:tcPr>
            <w:tcW w:type="dxa" w:w="4320"/>
          </w:tcPr>
          <w:p>
            <w:r>
              <w:t>"Expert Formation, All-Inclusive — everything you need to start, nothing hidden"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"Start Your Company"</w:t>
            </w:r>
          </w:p>
        </w:tc>
      </w:tr>
      <w:tr>
        <w:tc>
          <w:tcPr>
            <w:tcW w:type="dxa" w:w="4320"/>
          </w:tcPr>
          <w:p>
            <w:r>
              <w:t>Trust Element</w:t>
            </w:r>
          </w:p>
        </w:tc>
        <w:tc>
          <w:tcPr>
            <w:tcW w:type="dxa" w:w="4320"/>
          </w:tcPr>
          <w:p>
            <w:r>
              <w:t>"25 years forming Wyoming and Nevada entities"</w:t>
            </w:r>
          </w:p>
        </w:tc>
      </w:tr>
      <w:tr>
        <w:tc>
          <w:tcPr>
            <w:tcW w:type="dxa" w:w="4320"/>
          </w:tcPr>
          <w:p>
            <w:r>
              <w:t>Key Services</w:t>
            </w:r>
          </w:p>
        </w:tc>
        <w:tc>
          <w:tcPr>
            <w:tcW w:type="dxa" w:w="4320"/>
          </w:tcPr>
          <w:p>
            <w:r>
              <w:t>Wyoming LLC, Nevada LLC, Wyoming Corporation, Nevada Corporation, Shelf Companies</w:t>
            </w:r>
          </w:p>
        </w:tc>
      </w:tr>
    </w:tbl>
    <w:p>
      <w:pPr>
        <w:pStyle w:val="Heading3"/>
      </w:pPr>
      <w:r>
        <w:t>Pillar 4: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Identity Color</w:t>
            </w:r>
          </w:p>
        </w:tc>
        <w:tc>
          <w:tcPr>
            <w:tcW w:type="dxa" w:w="4320"/>
          </w:tcPr>
          <w:p>
            <w:r>
              <w:t>Purple --pillar-compliance · #9333ea</w:t>
            </w:r>
          </w:p>
        </w:tc>
      </w:tr>
      <w:tr>
        <w:tc>
          <w:tcPr>
            <w:tcW w:type="dxa" w:w="4320"/>
          </w:tcPr>
          <w:p>
            <w:r>
              <w:t>Core Message</w:t>
            </w:r>
          </w:p>
        </w:tc>
        <w:tc>
          <w:tcPr>
            <w:tcW w:type="dxa" w:w="4320"/>
          </w:tcPr>
          <w:p>
            <w:r>
              <w:t>"Ongoing Support, Not Just a Mailbox — year-round registered agent, annual reports, corporate minutes"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"Stay Compliant"</w:t>
            </w:r>
          </w:p>
        </w:tc>
      </w:tr>
      <w:tr>
        <w:tc>
          <w:tcPr>
            <w:tcW w:type="dxa" w:w="4320"/>
          </w:tcPr>
          <w:p>
            <w:r>
              <w:t>Trust Element</w:t>
            </w:r>
          </w:p>
        </w:tc>
        <w:tc>
          <w:tcPr>
            <w:tcW w:type="dxa" w:w="4320"/>
          </w:tcPr>
          <w:p>
            <w:r>
              <w:t>"Full corporate minute maintenance included"</w:t>
            </w:r>
          </w:p>
        </w:tc>
      </w:tr>
      <w:tr>
        <w:tc>
          <w:tcPr>
            <w:tcW w:type="dxa" w:w="4320"/>
          </w:tcPr>
          <w:p>
            <w:r>
              <w:t>Key Services</w:t>
            </w:r>
          </w:p>
        </w:tc>
        <w:tc>
          <w:tcPr>
            <w:tcW w:type="dxa" w:w="4320"/>
          </w:tcPr>
          <w:p>
            <w:r>
              <w:t>Registered Agent, Annual Reports, Corporate Minutes, Virtual Office, Domestication, Foreign Registration, 2nd-Tier State Filings, Shares &amp; Corporate Records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03 — Color System</w:t>
      </w:r>
    </w:p>
    <w:p>
      <w:pPr>
        <w:pStyle w:val="Heading3"/>
      </w:pPr>
      <w:r>
        <w:t>Brand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CSS 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Deep Navy</w:t>
            </w:r>
          </w:p>
        </w:tc>
        <w:tc>
          <w:tcPr>
            <w:tcW w:type="dxa" w:w="1728"/>
          </w:tcPr>
          <w:p>
            <w:r>
              <w:t>--primary</w:t>
            </w:r>
          </w:p>
        </w:tc>
        <w:tc>
          <w:tcPr>
            <w:tcW w:type="dxa" w:w="1728"/>
          </w:tcPr>
          <w:p>
            <w:r>
              <w:t>#1e3a5f</w:t>
            </w:r>
          </w:p>
        </w:tc>
        <w:tc>
          <w:tcPr>
            <w:tcW w:type="dxa" w:w="1728"/>
          </w:tcPr>
          <w:p>
            <w:r>
              <w:t>Authority, trust, dark sections (differentiator, final CTA, footer)</w:t>
            </w:r>
          </w:p>
        </w:tc>
      </w:tr>
      <w:tr>
        <w:tc>
          <w:tcPr>
            <w:tcW w:type="dxa" w:w="1728"/>
          </w:tcPr>
          <w:p>
            <w:r>
              <w:t>Secondary</w:t>
            </w:r>
          </w:p>
        </w:tc>
        <w:tc>
          <w:tcPr>
            <w:tcW w:type="dxa" w:w="1728"/>
          </w:tcPr>
          <w:p>
            <w:r>
              <w:t>Bright Blue</w:t>
            </w:r>
          </w:p>
        </w:tc>
        <w:tc>
          <w:tcPr>
            <w:tcW w:type="dxa" w:w="1728"/>
          </w:tcPr>
          <w:p>
            <w:r>
              <w:t>--secondary</w:t>
            </w:r>
          </w:p>
        </w:tc>
        <w:tc>
          <w:tcPr>
            <w:tcW w:type="dxa" w:w="1728"/>
          </w:tcPr>
          <w:p>
            <w:r>
              <w:t>#2563eb</w:t>
            </w:r>
          </w:p>
        </w:tc>
        <w:tc>
          <w:tcPr>
            <w:tcW w:type="dxa" w:w="1728"/>
          </w:tcPr>
          <w:p>
            <w:r>
              <w:t>CTAs, links, active nav states, focus rings</w:t>
            </w:r>
          </w:p>
        </w:tc>
      </w:tr>
      <w:tr>
        <w:tc>
          <w:tcPr>
            <w:tcW w:type="dxa" w:w="1728"/>
          </w:tcPr>
          <w:p>
            <w:r>
              <w:t>Accent</w:t>
            </w:r>
          </w:p>
        </w:tc>
        <w:tc>
          <w:tcPr>
            <w:tcW w:type="dxa" w:w="1728"/>
          </w:tcPr>
          <w:p>
            <w:r>
              <w:t>Amber</w:t>
            </w:r>
          </w:p>
        </w:tc>
        <w:tc>
          <w:tcPr>
            <w:tcW w:type="dxa" w:w="1728"/>
          </w:tcPr>
          <w:p>
            <w:r>
              <w:t>--accent</w:t>
            </w:r>
          </w:p>
        </w:tc>
        <w:tc>
          <w:tcPr>
            <w:tcW w:type="dxa" w:w="1728"/>
          </w:tcPr>
          <w:p>
            <w:r>
              <w:t>#d97706</w:t>
            </w:r>
          </w:p>
        </w:tc>
        <w:tc>
          <w:tcPr>
            <w:tcW w:type="dxa" w:w="1728"/>
          </w:tcPr>
          <w:p>
            <w:r>
              <w:t>Primary conversion CTAs ONLY</w:t>
            </w:r>
          </w:p>
        </w:tc>
      </w:tr>
      <w:tr>
        <w:tc>
          <w:tcPr>
            <w:tcW w:type="dxa" w:w="1728"/>
          </w:tcPr>
          <w:p>
            <w:r>
              <w:t>Accent Hover</w:t>
            </w:r>
          </w:p>
        </w:tc>
        <w:tc>
          <w:tcPr>
            <w:tcW w:type="dxa" w:w="1728"/>
          </w:tcPr>
          <w:p>
            <w:r>
              <w:t>Dark Amber</w:t>
            </w:r>
          </w:p>
        </w:tc>
        <w:tc>
          <w:tcPr>
            <w:tcW w:type="dxa" w:w="1728"/>
          </w:tcPr>
          <w:p>
            <w:r>
              <w:t>--accent-hover</w:t>
            </w:r>
          </w:p>
        </w:tc>
        <w:tc>
          <w:tcPr>
            <w:tcW w:type="dxa" w:w="1728"/>
          </w:tcPr>
          <w:p>
            <w:r>
              <w:t>#b45309</w:t>
            </w:r>
          </w:p>
        </w:tc>
        <w:tc>
          <w:tcPr>
            <w:tcW w:type="dxa" w:w="1728"/>
          </w:tcPr>
          <w:p>
            <w:r>
              <w:t>Hover state for primary CTAs</w:t>
            </w:r>
          </w:p>
        </w:tc>
      </w:tr>
    </w:tbl>
    <w:p>
      <w:pPr>
        <w:pStyle w:val="Heading3"/>
      </w:pPr>
      <w:r>
        <w:t>Pillar Identity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CSS 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t>Business Privacy</w:t>
            </w:r>
          </w:p>
        </w:tc>
        <w:tc>
          <w:tcPr>
            <w:tcW w:type="dxa" w:w="2880"/>
          </w:tcPr>
          <w:p>
            <w:r>
              <w:t>--pillar-privacy</w:t>
            </w:r>
          </w:p>
        </w:tc>
        <w:tc>
          <w:tcPr>
            <w:tcW w:type="dxa" w:w="2880"/>
          </w:tcPr>
          <w:p>
            <w:r>
              <w:t>#2563eb</w:t>
            </w:r>
          </w:p>
        </w:tc>
      </w:tr>
      <w:tr>
        <w:tc>
          <w:tcPr>
            <w:tcW w:type="dxa" w:w="2880"/>
          </w:tcPr>
          <w:p>
            <w:r>
              <w:t>Asset Protection</w:t>
            </w:r>
          </w:p>
        </w:tc>
        <w:tc>
          <w:tcPr>
            <w:tcW w:type="dxa" w:w="2880"/>
          </w:tcPr>
          <w:p>
            <w:r>
              <w:t>--pillar-asset</w:t>
            </w:r>
          </w:p>
        </w:tc>
        <w:tc>
          <w:tcPr>
            <w:tcW w:type="dxa" w:w="2880"/>
          </w:tcPr>
          <w:p>
            <w:r>
              <w:t>#16a34a</w:t>
            </w:r>
          </w:p>
        </w:tc>
      </w:tr>
      <w:tr>
        <w:tc>
          <w:tcPr>
            <w:tcW w:type="dxa" w:w="2880"/>
          </w:tcPr>
          <w:p>
            <w:r>
              <w:t>Company Formation</w:t>
            </w:r>
          </w:p>
        </w:tc>
        <w:tc>
          <w:tcPr>
            <w:tcW w:type="dxa" w:w="2880"/>
          </w:tcPr>
          <w:p>
            <w:r>
              <w:t>--pillar-formation</w:t>
            </w:r>
          </w:p>
        </w:tc>
        <w:tc>
          <w:tcPr>
            <w:tcW w:type="dxa" w:w="2880"/>
          </w:tcPr>
          <w:p>
            <w:r>
              <w:t>#d97706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--pillar-compliance</w:t>
            </w:r>
          </w:p>
        </w:tc>
        <w:tc>
          <w:tcPr>
            <w:tcW w:type="dxa" w:w="2880"/>
          </w:tcPr>
          <w:p>
            <w:r>
              <w:t>#9333ea</w:t>
            </w:r>
          </w:p>
        </w:tc>
      </w:tr>
    </w:tbl>
    <w:p>
      <w:pPr>
        <w:pStyle w:val="Heading3"/>
      </w:pPr>
      <w:r>
        <w:t>Extended Palette (Soft → Mid → Full)</w:t>
      </w:r>
    </w:p>
    <w:p>
      <w:r>
        <w:t>Each pillar has a three-step gradient for backgrounds, accents, and primary 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Soft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</w:t>
            </w:r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#dbeafe</w:t>
            </w:r>
          </w:p>
        </w:tc>
        <w:tc>
          <w:tcPr>
            <w:tcW w:type="dxa" w:w="2160"/>
          </w:tcPr>
          <w:p>
            <w:r>
              <w:t>#93bbfd</w:t>
            </w:r>
          </w:p>
        </w:tc>
        <w:tc>
          <w:tcPr>
            <w:tcW w:type="dxa" w:w="2160"/>
          </w:tcPr>
          <w:p>
            <w:r>
              <w:t>#2563eb</w:t>
            </w:r>
          </w:p>
        </w:tc>
      </w:tr>
      <w:tr>
        <w:tc>
          <w:tcPr>
            <w:tcW w:type="dxa" w:w="2160"/>
          </w:tcPr>
          <w:p>
            <w:r>
              <w:t>Asset Protection</w:t>
            </w:r>
          </w:p>
        </w:tc>
        <w:tc>
          <w:tcPr>
            <w:tcW w:type="dxa" w:w="2160"/>
          </w:tcPr>
          <w:p>
            <w:r>
              <w:t>#dcfce7</w:t>
            </w:r>
          </w:p>
        </w:tc>
        <w:tc>
          <w:tcPr>
            <w:tcW w:type="dxa" w:w="2160"/>
          </w:tcPr>
          <w:p>
            <w:r>
              <w:t>#86efac</w:t>
            </w:r>
          </w:p>
        </w:tc>
        <w:tc>
          <w:tcPr>
            <w:tcW w:type="dxa" w:w="2160"/>
          </w:tcPr>
          <w:p>
            <w:r>
              <w:t>#16a34a</w:t>
            </w:r>
          </w:p>
        </w:tc>
      </w:tr>
      <w:tr>
        <w:tc>
          <w:tcPr>
            <w:tcW w:type="dxa" w:w="2160"/>
          </w:tcPr>
          <w:p>
            <w:r>
              <w:t>Formation</w:t>
            </w:r>
          </w:p>
        </w:tc>
        <w:tc>
          <w:tcPr>
            <w:tcW w:type="dxa" w:w="2160"/>
          </w:tcPr>
          <w:p>
            <w:r>
              <w:t>#fef3c7</w:t>
            </w:r>
          </w:p>
        </w:tc>
        <w:tc>
          <w:tcPr>
            <w:tcW w:type="dxa" w:w="2160"/>
          </w:tcPr>
          <w:p>
            <w:r>
              <w:t>#fcd34d</w:t>
            </w:r>
          </w:p>
        </w:tc>
        <w:tc>
          <w:tcPr>
            <w:tcW w:type="dxa" w:w="2160"/>
          </w:tcPr>
          <w:p>
            <w:r>
              <w:t>#d97706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#f3e8ff</w:t>
            </w:r>
          </w:p>
        </w:tc>
        <w:tc>
          <w:tcPr>
            <w:tcW w:type="dxa" w:w="2160"/>
          </w:tcPr>
          <w:p>
            <w:r>
              <w:t>#c084fc</w:t>
            </w:r>
          </w:p>
        </w:tc>
        <w:tc>
          <w:tcPr>
            <w:tcW w:type="dxa" w:w="2160"/>
          </w:tcPr>
          <w:p>
            <w:r>
              <w:t>#9333ea</w:t>
            </w:r>
          </w:p>
        </w:tc>
      </w:tr>
    </w:tbl>
    <w:p>
      <w:r>
        <w:t>CSS variable pattern: --pillar-{name}-soft, --pillar-{name}-mid, --pillar-{name}</w:t>
      </w:r>
    </w:p>
    <w:p>
      <w:pPr>
        <w:pStyle w:val="Heading3"/>
      </w:pPr>
      <w:r>
        <w:t>Semantic &amp; Surface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CSS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--success</w:t>
            </w:r>
          </w:p>
        </w:tc>
        <w:tc>
          <w:tcPr>
            <w:tcW w:type="dxa" w:w="2160"/>
          </w:tcPr>
          <w:p>
            <w:r>
              <w:t>#16a34a</w:t>
            </w:r>
          </w:p>
        </w:tc>
        <w:tc>
          <w:tcPr>
            <w:tcW w:type="dxa" w:w="2160"/>
          </w:tcPr>
          <w:p>
            <w:r>
              <w:t>Confirmation, trust signals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--surface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Card and section backgrounds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--background</w:t>
            </w:r>
          </w:p>
        </w:tc>
        <w:tc>
          <w:tcPr>
            <w:tcW w:type="dxa" w:w="2160"/>
          </w:tcPr>
          <w:p>
            <w:r>
              <w:t>#f8fafc</w:t>
            </w:r>
          </w:p>
        </w:tc>
        <w:tc>
          <w:tcPr>
            <w:tcW w:type="dxa" w:w="2160"/>
          </w:tcPr>
          <w:p>
            <w:r>
              <w:t>Page background</w:t>
            </w:r>
          </w:p>
        </w:tc>
      </w:tr>
      <w:tr>
        <w:tc>
          <w:tcPr>
            <w:tcW w:type="dxa" w:w="2160"/>
          </w:tcPr>
          <w:p>
            <w:r>
              <w:t>Foreground</w:t>
            </w:r>
          </w:p>
        </w:tc>
        <w:tc>
          <w:tcPr>
            <w:tcW w:type="dxa" w:w="2160"/>
          </w:tcPr>
          <w:p>
            <w:r>
              <w:t>--foreground</w:t>
            </w:r>
          </w:p>
        </w:tc>
        <w:tc>
          <w:tcPr>
            <w:tcW w:type="dxa" w:w="2160"/>
          </w:tcPr>
          <w:p>
            <w:r>
              <w:t>#0f172a</w:t>
            </w:r>
          </w:p>
        </w:tc>
        <w:tc>
          <w:tcPr>
            <w:tcW w:type="dxa" w:w="2160"/>
          </w:tcPr>
          <w:p>
            <w:r>
              <w:t>Primary text</w:t>
            </w:r>
          </w:p>
        </w:tc>
      </w:tr>
      <w:tr>
        <w:tc>
          <w:tcPr>
            <w:tcW w:type="dxa" w:w="2160"/>
          </w:tcPr>
          <w:p>
            <w:r>
              <w:t>Footer Dark</w:t>
            </w:r>
          </w:p>
        </w:tc>
        <w:tc>
          <w:tcPr>
            <w:tcW w:type="dxa" w:w="2160"/>
          </w:tcPr>
          <w:p>
            <w:r>
              <w:t>--footer-dark</w:t>
            </w:r>
          </w:p>
        </w:tc>
        <w:tc>
          <w:tcPr>
            <w:tcW w:type="dxa" w:w="2160"/>
          </w:tcPr>
          <w:p>
            <w:r>
              <w:t>#0f172a</w:t>
            </w:r>
          </w:p>
        </w:tc>
        <w:tc>
          <w:tcPr>
            <w:tcW w:type="dxa" w:w="2160"/>
          </w:tcPr>
          <w:p>
            <w:r>
              <w:t>Footer background</w:t>
            </w:r>
          </w:p>
        </w:tc>
      </w:tr>
      <w:tr>
        <w:tc>
          <w:tcPr>
            <w:tcW w:type="dxa" w:w="2160"/>
          </w:tcPr>
          <w:p>
            <w:r>
              <w:t>Muted</w:t>
            </w:r>
          </w:p>
        </w:tc>
        <w:tc>
          <w:tcPr>
            <w:tcW w:type="dxa" w:w="2160"/>
          </w:tcPr>
          <w:p>
            <w:r>
              <w:t>--muted</w:t>
            </w:r>
          </w:p>
        </w:tc>
        <w:tc>
          <w:tcPr>
            <w:tcW w:type="dxa" w:w="2160"/>
          </w:tcPr>
          <w:p>
            <w:r>
              <w:t>#64748b</w:t>
            </w:r>
          </w:p>
        </w:tc>
        <w:tc>
          <w:tcPr>
            <w:tcW w:type="dxa" w:w="2160"/>
          </w:tcPr>
          <w:p>
            <w:r>
              <w:t>Secondary text, captions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--border</w:t>
            </w:r>
          </w:p>
        </w:tc>
        <w:tc>
          <w:tcPr>
            <w:tcW w:type="dxa" w:w="2160"/>
          </w:tcPr>
          <w:p>
            <w:r>
              <w:t>#e2e8f0</w:t>
            </w:r>
          </w:p>
        </w:tc>
        <w:tc>
          <w:tcPr>
            <w:tcW w:type="dxa" w:w="2160"/>
          </w:tcPr>
          <w:p>
            <w:r>
              <w:t>Dividers, card borders</w:t>
            </w:r>
          </w:p>
        </w:tc>
      </w:tr>
    </w:tbl>
    <w:p>
      <w:pPr>
        <w:pStyle w:val="Heading3"/>
      </w:pPr>
      <w:r>
        <w:t>Color Usage Rules</w:t>
      </w:r>
    </w:p>
    <w:p>
      <w:r>
        <w:t>✓ CORRECT:</w:t>
      </w:r>
    </w:p>
    <w:p>
      <w:pPr>
        <w:pStyle w:val="ListBullet"/>
      </w:pPr>
      <w:r>
        <w:t>Primary navy for dark sections: differentiator, final CTA, footer</w:t>
      </w:r>
    </w:p>
    <w:p>
      <w:pPr>
        <w:pStyle w:val="ListBullet"/>
      </w:pPr>
      <w:r>
        <w:t>Secondary blue for links, active nav, focus rings</w:t>
      </w:r>
    </w:p>
    <w:p>
      <w:pPr>
        <w:pStyle w:val="ListBullet"/>
      </w:pPr>
      <w:r>
        <w:t>Amber ONLY for primary conversion CTAs (e.g., "Protect Your Privacy →")</w:t>
      </w:r>
    </w:p>
    <w:p>
      <w:pPr>
        <w:pStyle w:val="ListBullet"/>
      </w:pPr>
      <w:r>
        <w:t>Pillar colors for mega menu accents, pillar page headers, card top borders</w:t>
      </w:r>
    </w:p>
    <w:p>
      <w:r>
        <w:t>✗ INCORRECT:</w:t>
      </w:r>
    </w:p>
    <w:p>
      <w:pPr>
        <w:pStyle w:val="ListBullet"/>
      </w:pPr>
      <w:r>
        <w:t>Never use amber for non-CTA elements (e.g., "Learn More" button)</w:t>
      </w:r>
    </w:p>
    <w:p>
      <w:pPr>
        <w:pStyle w:val="ListBullet"/>
      </w:pPr>
      <w:r>
        <w:t>Never use pillar colors for body text (body text must remain --foreground or --muted)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04 — Typography</w:t>
      </w:r>
    </w:p>
    <w:p>
      <w:pPr>
        <w:pStyle w:val="Heading3"/>
      </w:pPr>
      <w:r>
        <w:t>Recommended Fonts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Font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CSS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Outfit</w:t>
            </w:r>
          </w:p>
        </w:tc>
        <w:tc>
          <w:tcPr>
            <w:tcW w:type="dxa" w:w="2160"/>
          </w:tcPr>
          <w:p>
            <w:r>
              <w:t>--font-display</w:t>
            </w:r>
          </w:p>
        </w:tc>
        <w:tc>
          <w:tcPr>
            <w:tcW w:type="dxa" w:w="2160"/>
          </w:tcPr>
          <w:p>
            <w:r>
              <w:t>Display / Headings</w:t>
            </w:r>
          </w:p>
        </w:tc>
        <w:tc>
          <w:tcPr>
            <w:tcW w:type="dxa" w:w="2160"/>
          </w:tcPr>
          <w:p>
            <w:r>
              <w:t>Clean, modern, premium feel</w:t>
            </w:r>
          </w:p>
        </w:tc>
      </w:tr>
      <w:tr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--font-body</w:t>
            </w:r>
          </w:p>
        </w:tc>
        <w:tc>
          <w:tcPr>
            <w:tcW w:type="dxa" w:w="2160"/>
          </w:tcPr>
          <w:p>
            <w:r>
              <w:t>Body Text</w:t>
            </w:r>
          </w:p>
        </w:tc>
        <w:tc>
          <w:tcPr>
            <w:tcW w:type="dxa" w:w="2160"/>
          </w:tcPr>
          <w:p>
            <w:r>
              <w:t>Excellent readability, professional</w:t>
            </w:r>
          </w:p>
        </w:tc>
      </w:tr>
      <w:tr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--font-mono</w:t>
            </w:r>
          </w:p>
        </w:tc>
        <w:tc>
          <w:tcPr>
            <w:tcW w:type="dxa" w:w="2160"/>
          </w:tcPr>
          <w:p>
            <w:r>
              <w:t>Mono / Legal / Pricing</w:t>
            </w:r>
          </w:p>
        </w:tc>
        <w:tc>
          <w:tcPr>
            <w:tcW w:type="dxa" w:w="2160"/>
          </w:tcPr>
          <w:p>
            <w:r>
              <w:t>Entity numbers, pricing, legal references</w:t>
            </w:r>
          </w:p>
        </w:tc>
      </w:tr>
    </w:tbl>
    <w:p>
      <w:pPr>
        <w:pStyle w:val="Heading3"/>
      </w:pPr>
      <w:r>
        <w:t>Type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Sample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1440"/>
          </w:tcPr>
          <w:p>
            <w:r>
              <w:t>Display XL</w:t>
            </w:r>
          </w:p>
        </w:tc>
        <w:tc>
          <w:tcPr>
            <w:tcW w:type="dxa" w:w="1440"/>
          </w:tcPr>
          <w:p>
            <w:r>
              <w:t>48px</w:t>
            </w:r>
          </w:p>
        </w:tc>
        <w:tc>
          <w:tcPr>
            <w:tcW w:type="dxa" w:w="1440"/>
          </w:tcPr>
          <w:p>
            <w:r>
              <w:t>800</w:t>
            </w:r>
          </w:p>
        </w:tc>
        <w:tc>
          <w:tcPr>
            <w:tcW w:type="dxa" w:w="1440"/>
          </w:tcPr>
          <w:p>
            <w:r>
              <w:t>Outfit</w:t>
            </w:r>
          </w:p>
        </w:tc>
        <w:tc>
          <w:tcPr>
            <w:tcW w:type="dxa" w:w="1440"/>
          </w:tcPr>
          <w:p>
            <w:r>
              <w:t>"Privacy You Can't Get Elsewhere"</w:t>
            </w:r>
          </w:p>
        </w:tc>
        <w:tc>
          <w:tcPr>
            <w:tcW w:type="dxa" w:w="1440"/>
          </w:tcPr>
          <w:p>
            <w:r>
              <w:t>Hero headlines only</w:t>
            </w:r>
          </w:p>
        </w:tc>
      </w:tr>
      <w:tr>
        <w:tc>
          <w:tcPr>
            <w:tcW w:type="dxa" w:w="1440"/>
          </w:tcPr>
          <w:p>
            <w:r>
              <w:t>Display LG</w:t>
            </w:r>
          </w:p>
        </w:tc>
        <w:tc>
          <w:tcPr>
            <w:tcW w:type="dxa" w:w="1440"/>
          </w:tcPr>
          <w:p>
            <w:r>
              <w:t>36px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Outfit</w:t>
            </w:r>
          </w:p>
        </w:tc>
        <w:tc>
          <w:tcPr>
            <w:tcW w:type="dxa" w:w="1440"/>
          </w:tcPr>
          <w:p>
            <w:r>
              <w:t>"Protect What You've Built"</w:t>
            </w:r>
          </w:p>
        </w:tc>
        <w:tc>
          <w:tcPr>
            <w:tcW w:type="dxa" w:w="1440"/>
          </w:tcPr>
          <w:p>
            <w:r>
              <w:t>Section headlines</w:t>
            </w:r>
          </w:p>
        </w:tc>
      </w:tr>
      <w:tr>
        <w:tc>
          <w:tcPr>
            <w:tcW w:type="dxa" w:w="1440"/>
          </w:tcPr>
          <w:p>
            <w:r>
              <w:t>Display SM</w:t>
            </w:r>
          </w:p>
        </w:tc>
        <w:tc>
          <w:tcPr>
            <w:tcW w:type="dxa" w:w="1440"/>
          </w:tcPr>
          <w:p>
            <w:r>
              <w:t>24px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Outfit</w:t>
            </w:r>
          </w:p>
        </w:tc>
        <w:tc>
          <w:tcPr>
            <w:tcW w:type="dxa" w:w="1440"/>
          </w:tcPr>
          <w:p>
            <w:r>
              <w:t>"Wyoming Anonymous LLC Formation"</w:t>
            </w:r>
          </w:p>
        </w:tc>
        <w:tc>
          <w:tcPr>
            <w:tcW w:type="dxa" w:w="1440"/>
          </w:tcPr>
          <w:p>
            <w:r>
              <w:t>Card titles, sub-sections</w:t>
            </w:r>
          </w:p>
        </w:tc>
      </w:tr>
      <w:tr>
        <w:tc>
          <w:tcPr>
            <w:tcW w:type="dxa" w:w="1440"/>
          </w:tcPr>
          <w:p>
            <w:r>
              <w:t>Text XL</w:t>
            </w:r>
          </w:p>
        </w:tc>
        <w:tc>
          <w:tcPr>
            <w:tcW w:type="dxa" w:w="1440"/>
          </w:tcPr>
          <w:p>
            <w:r>
              <w:t>20px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440"/>
          </w:tcPr>
          <w:p>
            <w:r>
              <w:t>"No competitor successfully combines modern UX, privacy expertise..."</w:t>
            </w:r>
          </w:p>
        </w:tc>
        <w:tc>
          <w:tcPr>
            <w:tcW w:type="dxa" w:w="1440"/>
          </w:tcPr>
          <w:p>
            <w:r>
              <w:t>Lead paragraphs, callouts</w:t>
            </w:r>
          </w:p>
        </w:tc>
      </w:tr>
      <w:tr>
        <w:tc>
          <w:tcPr>
            <w:tcW w:type="dxa" w:w="1440"/>
          </w:tcPr>
          <w:p>
            <w:r>
              <w:t>Text LG</w:t>
            </w:r>
          </w:p>
        </w:tc>
        <w:tc>
          <w:tcPr>
            <w:tcW w:type="dxa" w:w="1440"/>
          </w:tcPr>
          <w:p>
            <w:r>
              <w:t>18px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440"/>
          </w:tcPr>
          <w:p>
            <w:r>
              <w:t>"Year-round nominee directors and officers included in every Gold package..."</w:t>
            </w:r>
          </w:p>
        </w:tc>
        <w:tc>
          <w:tcPr>
            <w:tcW w:type="dxa" w:w="1440"/>
          </w:tcPr>
          <w:p>
            <w:r>
              <w:t>Subheadlines, descriptions</w:t>
            </w:r>
          </w:p>
        </w:tc>
      </w:tr>
      <w:tr>
        <w:tc>
          <w:tcPr>
            <w:tcW w:type="dxa" w:w="1440"/>
          </w:tcPr>
          <w:p>
            <w:r>
              <w:t>Text Base</w:t>
            </w:r>
          </w:p>
        </w:tc>
        <w:tc>
          <w:tcPr>
            <w:tcW w:type="dxa" w:w="1440"/>
          </w:tcPr>
          <w:p>
            <w:r>
              <w:t>16px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440"/>
          </w:tcPr>
          <w:p>
            <w:r>
              <w:t>"Wyoming's charging order protection means creditors cannot seize your LLC assets..."</w:t>
            </w:r>
          </w:p>
        </w:tc>
        <w:tc>
          <w:tcPr>
            <w:tcW w:type="dxa" w:w="1440"/>
          </w:tcPr>
          <w:p>
            <w:r>
              <w:t>Body copy</w:t>
            </w:r>
          </w:p>
        </w:tc>
      </w:tr>
      <w:tr>
        <w:tc>
          <w:tcPr>
            <w:tcW w:type="dxa" w:w="1440"/>
          </w:tcPr>
          <w:p>
            <w:r>
              <w:t>Text SM</w:t>
            </w:r>
          </w:p>
        </w:tc>
        <w:tc>
          <w:tcPr>
            <w:tcW w:type="dxa" w:w="1440"/>
          </w:tcPr>
          <w:p>
            <w:r>
              <w:t>14px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440"/>
          </w:tcPr>
          <w:p>
            <w:r>
              <w:t>"Filed in 3–5 business days · Includes registered agent for one year..."</w:t>
            </w:r>
          </w:p>
        </w:tc>
        <w:tc>
          <w:tcPr>
            <w:tcW w:type="dxa" w:w="1440"/>
          </w:tcPr>
          <w:p>
            <w:r>
              <w:t>Captions, labels, meta</w:t>
            </w:r>
          </w:p>
        </w:tc>
      </w:tr>
      <w:tr>
        <w:tc>
          <w:tcPr>
            <w:tcW w:type="dxa" w:w="1440"/>
          </w:tcPr>
          <w:p>
            <w:r>
              <w:t>Text XS</w:t>
            </w:r>
          </w:p>
        </w:tc>
        <w:tc>
          <w:tcPr>
            <w:tcW w:type="dxa" w:w="1440"/>
          </w:tcPr>
          <w:p>
            <w:r>
              <w:t>12px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Inter</w:t>
            </w:r>
          </w:p>
        </w:tc>
        <w:tc>
          <w:tcPr>
            <w:tcW w:type="dxa" w:w="1440"/>
          </w:tcPr>
          <w:p>
            <w:r>
              <w:t>"Incorporate123 is not a law firm and does not provide legal advice..."</w:t>
            </w:r>
          </w:p>
        </w:tc>
        <w:tc>
          <w:tcPr>
            <w:tcW w:type="dxa" w:w="1440"/>
          </w:tcPr>
          <w:p>
            <w:r>
              <w:t>Legal text, fine print</w:t>
            </w:r>
          </w:p>
        </w:tc>
      </w:tr>
      <w:tr>
        <w:tc>
          <w:tcPr>
            <w:tcW w:type="dxa" w:w="1440"/>
          </w:tcPr>
          <w:p>
            <w:r>
              <w:t>Mono</w:t>
            </w:r>
          </w:p>
        </w:tc>
        <w:tc>
          <w:tcPr>
            <w:tcW w:type="dxa" w:w="1440"/>
          </w:tcPr>
          <w:p>
            <w:r>
              <w:t>16px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JetBrains Mono</w:t>
            </w:r>
          </w:p>
        </w:tc>
        <w:tc>
          <w:tcPr>
            <w:tcW w:type="dxa" w:w="1440"/>
          </w:tcPr>
          <w:p>
            <w:r>
              <w:t>"Wyoming Gold LLC — $1,275 \</w:t>
            </w:r>
          </w:p>
        </w:tc>
        <w:tc>
          <w:tcPr>
            <w:tcW w:type="dxa" w:w="1440"/>
          </w:tcPr>
          <w:p>
            <w:r>
              <w:t>Annual Renewal — $525/yr \</w:t>
            </w:r>
          </w:p>
        </w:tc>
      </w:tr>
    </w:tbl>
    <w:p>
      <w:pPr>
        <w:pStyle w:val="Heading3"/>
      </w:pPr>
      <w:r>
        <w:t>Typography Rules</w:t>
      </w:r>
    </w:p>
    <w:p>
      <w:pPr>
        <w:pStyle w:val="ListBullet"/>
      </w:pPr>
      <w:r>
        <w:t>✓ Headlines: 8 words or fewer for scannability (the 80% scanners)</w:t>
      </w:r>
    </w:p>
    <w:p>
      <w:pPr>
        <w:pStyle w:val="ListBullet"/>
      </w:pPr>
      <w:r>
        <w:t>✓ Body copy: short paragraphs, 3–5 sentences max</w:t>
      </w:r>
    </w:p>
    <w:p>
      <w:pPr>
        <w:pStyle w:val="ListBullet"/>
      </w:pPr>
      <w:r>
        <w:t>✓ Pricing always uses JetBrains Mono for clarity</w:t>
      </w:r>
    </w:p>
    <w:p>
      <w:pPr>
        <w:pStyle w:val="ListBullet"/>
      </w:pPr>
      <w:r>
        <w:t>✓ Page H1s must be unique across the entire site (SEO requirement)</w:t>
      </w:r>
    </w:p>
    <w:p>
      <w:pPr>
        <w:pStyle w:val="ListBullet"/>
      </w:pPr>
      <w:r>
        <w:t>⚠ Never use ALL CAPS for body text (acceptable for eyebrows and badges only)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05 — Voice &amp; Messaging</w:t>
      </w:r>
    </w:p>
    <w:p>
      <w:pPr>
        <w:pStyle w:val="Heading3"/>
      </w:pPr>
      <w:r>
        <w:t>Voice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 DON'T</w:t>
            </w:r>
          </w:p>
        </w:tc>
      </w:tr>
      <w:tr>
        <w:tc>
          <w:tcPr>
            <w:tcW w:type="dxa" w:w="2880"/>
          </w:tcPr>
          <w:p>
            <w:r>
              <w:t>Authoritative</w:t>
            </w:r>
          </w:p>
        </w:tc>
        <w:tc>
          <w:tcPr>
            <w:tcW w:type="dxa" w:w="2880"/>
          </w:tcPr>
          <w:p>
            <w:r>
              <w:t>Cite 25 years of experience; reference specific statutes and structures</w:t>
            </w:r>
          </w:p>
        </w:tc>
        <w:tc>
          <w:tcPr>
            <w:tcW w:type="dxa" w:w="2880"/>
          </w:tcPr>
          <w:p>
            <w:r>
              <w:t>Vague claims; "best in the business" without evidence</w:t>
            </w:r>
          </w:p>
        </w:tc>
      </w:tr>
      <w:tr>
        <w:tc>
          <w:tcPr>
            <w:tcW w:type="dxa" w:w="2880"/>
          </w:tcPr>
          <w:p>
            <w:r>
              <w:t>Educational</w:t>
            </w:r>
          </w:p>
        </w:tc>
        <w:tc>
          <w:tcPr>
            <w:tcW w:type="dxa" w:w="2880"/>
          </w:tcPr>
          <w:p>
            <w:r>
              <w:t>Explain why privacy matters; teach the difference between privacy and asset protection</w:t>
            </w:r>
          </w:p>
        </w:tc>
        <w:tc>
          <w:tcPr>
            <w:tcW w:type="dxa" w:w="2880"/>
          </w:tcPr>
          <w:p>
            <w:r>
              <w:t>Assume visitors already understand nominees, charging orders, etc.</w:t>
            </w:r>
          </w:p>
        </w:tc>
      </w:tr>
      <w:tr>
        <w:tc>
          <w:tcPr>
            <w:tcW w:type="dxa" w:w="2880"/>
          </w:tcPr>
          <w:p>
            <w:r>
              <w:t>Transparent</w:t>
            </w:r>
          </w:p>
        </w:tc>
        <w:tc>
          <w:tcPr>
            <w:tcW w:type="dxa" w:w="2880"/>
          </w:tcPr>
          <w:p>
            <w:r>
              <w:t>Show all pricing upfront; explain what's included and what's not</w:t>
            </w:r>
          </w:p>
        </w:tc>
        <w:tc>
          <w:tcPr>
            <w:tcW w:type="dxa" w:w="2880"/>
          </w:tcPr>
          <w:p>
            <w:r>
              <w:t>Hidden pricing; fine-print exclusions; auto-renewal traps</w:t>
            </w:r>
          </w:p>
        </w:tc>
      </w:tr>
      <w:tr>
        <w:tc>
          <w:tcPr>
            <w:tcW w:type="dxa" w:w="2880"/>
          </w:tcPr>
          <w:p>
            <w:r>
              <w:t>Reassuring</w:t>
            </w:r>
          </w:p>
        </w:tc>
        <w:tc>
          <w:tcPr>
            <w:tcW w:type="dxa" w:w="2880"/>
          </w:tcPr>
          <w:p>
            <w:r>
              <w:t>Emphasize 25-year track record, real office, ongoing support</w:t>
            </w:r>
          </w:p>
        </w:tc>
        <w:tc>
          <w:tcPr>
            <w:tcW w:type="dxa" w:w="2880"/>
          </w:tcPr>
          <w:p>
            <w:r>
              <w:t>Fear-based selling; "you'll get sued if you don't act now"</w:t>
            </w:r>
          </w:p>
        </w:tc>
      </w:tr>
      <w:tr>
        <w:tc>
          <w:tcPr>
            <w:tcW w:type="dxa" w:w="2880"/>
          </w:tcPr>
          <w:p>
            <w:r>
              <w:t>Precise</w:t>
            </w:r>
          </w:p>
        </w:tc>
        <w:tc>
          <w:tcPr>
            <w:tcW w:type="dxa" w:w="2880"/>
          </w:tcPr>
          <w:p>
            <w:r>
              <w:t>Use specific numbers: $1,275, 25 years, $525 annual renewal</w:t>
            </w:r>
          </w:p>
        </w:tc>
        <w:tc>
          <w:tcPr>
            <w:tcW w:type="dxa" w:w="2880"/>
          </w:tcPr>
          <w:p>
            <w:r>
              <w:t>Round numbers; "affordable"; "competitive pricing"</w:t>
            </w:r>
          </w:p>
        </w:tc>
      </w:tr>
    </w:tbl>
    <w:p>
      <w:pPr>
        <w:pStyle w:val="Heading3"/>
      </w:pPr>
      <w:r>
        <w:t>Messaging DOs</w:t>
      </w:r>
    </w:p>
    <w:p>
      <w:pPr>
        <w:pStyle w:val="ListBullet"/>
      </w:pPr>
      <w:r>
        <w:t>Compete on privacy expertise — "25 years specializing in anonymous structures"</w:t>
      </w:r>
    </w:p>
    <w:p>
      <w:pPr>
        <w:pStyle w:val="ListBullet"/>
      </w:pPr>
      <w:r>
        <w:t>Compete on nominee depth — "year-round nominees, not 'nominee for a day'"</w:t>
      </w:r>
    </w:p>
    <w:p>
      <w:pPr>
        <w:pStyle w:val="ListBullet"/>
      </w:pPr>
      <w:r>
        <w:t>Compete on offshore capability — "nominees and records outside U.S. jurisdiction"</w:t>
      </w:r>
    </w:p>
    <w:p>
      <w:pPr>
        <w:pStyle w:val="ListBullet"/>
      </w:pPr>
      <w:r>
        <w:t>Compete on all-inclusive value — "what others charge $5,000/year for, we include"</w:t>
      </w:r>
    </w:p>
    <w:p>
      <w:pPr>
        <w:pStyle w:val="ListBullet"/>
      </w:pPr>
      <w:r>
        <w:t>Compete on human service — "real experts, not automated forms"</w:t>
      </w:r>
    </w:p>
    <w:p>
      <w:pPr>
        <w:pStyle w:val="ListBullet"/>
      </w:pPr>
      <w:r>
        <w:t>Always establish context before presenting benefits</w:t>
      </w:r>
    </w:p>
    <w:p>
      <w:pPr>
        <w:pStyle w:val="Heading3"/>
      </w:pPr>
      <w:r>
        <w:t>Messaging DON'Ts</w:t>
      </w:r>
    </w:p>
    <w:p>
      <w:pPr>
        <w:pStyle w:val="ListBullet"/>
      </w:pPr>
      <w:r>
        <w:t>Never compete on price — "we're cheaper"</w:t>
      </w:r>
    </w:p>
    <w:p>
      <w:pPr>
        <w:pStyle w:val="ListBullet"/>
      </w:pPr>
      <w:r>
        <w:t>Never compete on speed — "file in 5 minutes"</w:t>
      </w:r>
    </w:p>
    <w:p>
      <w:pPr>
        <w:pStyle w:val="ListBullet"/>
      </w:pPr>
      <w:r>
        <w:t>Never compete on ease — "simple 3-step process"</w:t>
      </w:r>
    </w:p>
    <w:p>
      <w:pPr>
        <w:pStyle w:val="ListBullet"/>
      </w:pPr>
      <w:r>
        <w:t>Never compete on breadth — "all 50 states"</w:t>
      </w:r>
    </w:p>
    <w:p>
      <w:pPr>
        <w:pStyle w:val="ListBullet"/>
      </w:pPr>
      <w:r>
        <w:t>Never use fear-based selling or urgency pressure</w:t>
      </w:r>
    </w:p>
    <w:p>
      <w:pPr>
        <w:pStyle w:val="ListBullet"/>
      </w:pPr>
      <w:r>
        <w:t>Never lead with benefits before establishing relevance/context on a page</w:t>
      </w:r>
    </w:p>
    <w:p>
      <w:pPr>
        <w:pStyle w:val="Heading3"/>
      </w:pPr>
      <w:r>
        <w:t>Pillar-Specific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Trust Element</w:t>
            </w:r>
          </w:p>
        </w:tc>
      </w:tr>
      <w:tr>
        <w:tc>
          <w:tcPr>
            <w:tcW w:type="dxa" w:w="2160"/>
          </w:tcPr>
          <w:p>
            <w:r>
              <w:t>Business Privacy</w:t>
            </w:r>
          </w:p>
        </w:tc>
        <w:tc>
          <w:tcPr>
            <w:tcW w:type="dxa" w:w="2160"/>
          </w:tcPr>
          <w:p>
            <w:r>
              <w:t>"Privacy You Can't Get Elsewhere"</w:t>
            </w:r>
          </w:p>
        </w:tc>
        <w:tc>
          <w:tcPr>
            <w:tcW w:type="dxa" w:w="2160"/>
          </w:tcPr>
          <w:p>
            <w:r>
              <w:t>Protect Your Privacy →</w:t>
            </w:r>
          </w:p>
        </w:tc>
        <w:tc>
          <w:tcPr>
            <w:tcW w:type="dxa" w:w="2160"/>
          </w:tcPr>
          <w:p>
            <w:r>
              <w:t>"Year-round nominees included — not 'nominee for a day'"</w:t>
            </w:r>
          </w:p>
        </w:tc>
      </w:tr>
      <w:tr>
        <w:tc>
          <w:tcPr>
            <w:tcW w:type="dxa" w:w="2160"/>
          </w:tcPr>
          <w:p>
            <w:r>
              <w:t>Asset Protection</w:t>
            </w:r>
          </w:p>
        </w:tc>
        <w:tc>
          <w:tcPr>
            <w:tcW w:type="dxa" w:w="2160"/>
          </w:tcPr>
          <w:p>
            <w:r>
              <w:t>"Protect What You've Built"</w:t>
            </w:r>
          </w:p>
        </w:tc>
        <w:tc>
          <w:tcPr>
            <w:tcW w:type="dxa" w:w="2160"/>
          </w:tcPr>
          <w:p>
            <w:r>
              <w:t>Protect Your Assets →</w:t>
            </w:r>
          </w:p>
        </w:tc>
        <w:tc>
          <w:tcPr>
            <w:tcW w:type="dxa" w:w="2160"/>
          </w:tcPr>
          <w:p>
            <w:r>
              <w:t>"For individuals with $500K+ in assets"</w:t>
            </w:r>
          </w:p>
        </w:tc>
      </w:tr>
      <w:tr>
        <w:tc>
          <w:tcPr>
            <w:tcW w:type="dxa" w:w="2160"/>
          </w:tcPr>
          <w:p>
            <w:r>
              <w:t>Company Formation</w:t>
            </w:r>
          </w:p>
        </w:tc>
        <w:tc>
          <w:tcPr>
            <w:tcW w:type="dxa" w:w="2160"/>
          </w:tcPr>
          <w:p>
            <w:r>
              <w:t>"Expert Formation, All-Inclusive"</w:t>
            </w:r>
          </w:p>
        </w:tc>
        <w:tc>
          <w:tcPr>
            <w:tcW w:type="dxa" w:w="2160"/>
          </w:tcPr>
          <w:p>
            <w:r>
              <w:t>Start Your Company →</w:t>
            </w:r>
          </w:p>
        </w:tc>
        <w:tc>
          <w:tcPr>
            <w:tcW w:type="dxa" w:w="2160"/>
          </w:tcPr>
          <w:p>
            <w:r>
              <w:t>"25 years forming Wyoming and Nevada entities"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"Ongoing Support, Not Just a Mailbox"</w:t>
            </w:r>
          </w:p>
        </w:tc>
        <w:tc>
          <w:tcPr>
            <w:tcW w:type="dxa" w:w="2160"/>
          </w:tcPr>
          <w:p>
            <w:r>
              <w:t>Stay Compliant →</w:t>
            </w:r>
          </w:p>
        </w:tc>
        <w:tc>
          <w:tcPr>
            <w:tcW w:type="dxa" w:w="2160"/>
          </w:tcPr>
          <w:p>
            <w:r>
              <w:t>"Full corporate minute maintenance included"</w:t>
            </w:r>
          </w:p>
        </w:tc>
      </w:tr>
    </w:tbl>
    <w:p>
      <w:pPr>
        <w:pStyle w:val="Heading3"/>
      </w:pPr>
      <w:r>
        <w:t>Pricing Language</w:t>
      </w:r>
    </w:p>
    <w:p>
      <w:pPr>
        <w:pStyle w:val="ListBullet"/>
      </w:pPr>
      <w:r>
        <w:t>✓ Always say "all-inclusive" — never "starting at"</w:t>
      </w:r>
    </w:p>
    <w:p>
      <w:pPr>
        <w:pStyle w:val="ListBullet"/>
      </w:pPr>
      <w:r>
        <w:t>✓ Always show the renewal rate alongside the formation price</w:t>
      </w:r>
    </w:p>
    <w:p>
      <w:pPr>
        <w:pStyle w:val="ListBullet"/>
      </w:pPr>
      <w:r>
        <w:t>✓ Always frame value comparatively: "competitors charge $400–$5,000/year for nominee services alone"</w:t>
      </w:r>
    </w:p>
    <w:p>
      <w:pPr>
        <w:pStyle w:val="ListBullet"/>
      </w:pPr>
      <w:r>
        <w:t>✗ Never apologize for premium pricing — position it as proof of included value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06 — Trust Architecture</w:t>
      </w:r>
    </w:p>
    <w:p>
      <w:pPr>
        <w:pStyle w:val="Heading3"/>
      </w:pPr>
      <w:r>
        <w:t>Immediate Trust Signals (at 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Trusted Since 2000</w:t>
            </w:r>
          </w:p>
        </w:tc>
        <w:tc>
          <w:tcPr>
            <w:tcW w:type="dxa" w:w="4320"/>
          </w:tcPr>
          <w:p>
            <w:r>
              <w:t>"25 Years of Specialized Experience" — in header/hero</w:t>
            </w:r>
          </w:p>
        </w:tc>
      </w:tr>
      <w:tr>
        <w:tc>
          <w:tcPr>
            <w:tcW w:type="dxa" w:w="4320"/>
          </w:tcPr>
          <w:p>
            <w:r>
              <w:t>Specialist Team</w:t>
            </w:r>
          </w:p>
        </w:tc>
        <w:tc>
          <w:tcPr>
            <w:tcW w:type="dxa" w:w="4320"/>
          </w:tcPr>
          <w:p>
            <w:r>
              <w:t>25 years of focused expertise in privacy and formation — not a generic filing service</w:t>
            </w:r>
          </w:p>
        </w:tc>
      </w:tr>
      <w:tr>
        <w:tc>
          <w:tcPr>
            <w:tcW w:type="dxa" w:w="4320"/>
          </w:tcPr>
          <w:p>
            <w:r>
              <w:t>Team Expertise</w:t>
            </w:r>
          </w:p>
        </w:tc>
        <w:tc>
          <w:tcPr>
            <w:tcW w:type="dxa" w:w="4320"/>
          </w:tcPr>
          <w:p>
            <w:r>
              <w:t>Company track record, team expertise, and 25-year history on About page</w:t>
            </w:r>
          </w:p>
        </w:tc>
      </w:tr>
      <w:tr>
        <w:tc>
          <w:tcPr>
            <w:tcW w:type="dxa" w:w="4320"/>
          </w:tcPr>
          <w:p>
            <w:r>
              <w:t>30-Day Money-Back Guarantee</w:t>
            </w:r>
          </w:p>
        </w:tc>
        <w:tc>
          <w:tcPr>
            <w:tcW w:type="dxa" w:w="4320"/>
          </w:tcPr>
          <w:p>
            <w:r>
              <w:t>Badge on all package pages</w:t>
            </w:r>
          </w:p>
        </w:tc>
      </w:tr>
      <w:tr>
        <w:tc>
          <w:tcPr>
            <w:tcW w:type="dxa" w:w="4320"/>
          </w:tcPr>
          <w:p>
            <w:r>
              <w:t>Crypto Payment Badges</w:t>
            </w:r>
          </w:p>
        </w:tc>
        <w:tc>
          <w:tcPr>
            <w:tcW w:type="dxa" w:w="4320"/>
          </w:tcPr>
          <w:p>
            <w:r>
              <w:t>Bitcoin, Ethereum, XRP, Litecoin, Monero icons (signals privacy alignment)</w:t>
            </w:r>
          </w:p>
        </w:tc>
      </w:tr>
      <w:tr>
        <w:tc>
          <w:tcPr>
            <w:tcW w:type="dxa" w:w="4320"/>
          </w:tcPr>
          <w:p>
            <w:r>
              <w:t>Phone Number Prominent</w:t>
            </w:r>
          </w:p>
        </w:tc>
        <w:tc>
          <w:tcPr>
            <w:tcW w:type="dxa" w:w="4320"/>
          </w:tcPr>
          <w:p>
            <w:r>
              <w:t>Clickable in header and on every conversion page</w:t>
            </w:r>
          </w:p>
        </w:tc>
      </w:tr>
    </w:tbl>
    <w:p>
      <w:pPr>
        <w:pStyle w:val="Heading3"/>
      </w:pPr>
      <w:r>
        <w:t>Post-Launch Trust Building</w:t>
      </w:r>
    </w:p>
    <w:p>
      <w:pPr>
        <w:pStyle w:val="ListBullet"/>
      </w:pPr>
      <w:r>
        <w:t>Trustpilot review program — target 100+ reviews in 6 months</w:t>
      </w:r>
    </w:p>
    <w:p>
      <w:pPr>
        <w:pStyle w:val="ListBullet"/>
      </w:pPr>
      <w:r>
        <w:t>Anonymized case studies — 3–5 within first quarter</w:t>
      </w:r>
    </w:p>
    <w:p>
      <w:pPr>
        <w:pStyle w:val="ListBullet"/>
      </w:pPr>
      <w:r>
        <w:t>Content authority — regular blog publishing for E-E-A-T signals</w:t>
      </w:r>
    </w:p>
    <w:p>
      <w:pPr>
        <w:pStyle w:val="ListBullet"/>
      </w:pPr>
      <w:r>
        <w:t>BBB accreditation exploration</w:t>
      </w:r>
    </w:p>
    <w:p>
      <w:pPr>
        <w:pStyle w:val="Heading3"/>
      </w:pPr>
      <w:r>
        <w:t>Trust Signal Placement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Signals</w:t>
            </w:r>
          </w:p>
        </w:tc>
      </w:tr>
      <w:tr>
        <w:tc>
          <w:tcPr>
            <w:tcW w:type="dxa" w:w="4320"/>
          </w:tcPr>
          <w:p>
            <w:r>
              <w:t>Every page</w:t>
            </w:r>
          </w:p>
        </w:tc>
        <w:tc>
          <w:tcPr>
            <w:tcW w:type="dxa" w:w="4320"/>
          </w:tcPr>
          <w:p>
            <w:r>
              <w:t>Phone number in header + footer</w:t>
            </w:r>
          </w:p>
        </w:tc>
      </w:tr>
      <w:tr>
        <w:tc>
          <w:tcPr>
            <w:tcW w:type="dxa" w:w="4320"/>
          </w:tcPr>
          <w:p>
            <w:r>
              <w:t>Every conversion page</w:t>
            </w:r>
          </w:p>
        </w:tc>
        <w:tc>
          <w:tcPr>
            <w:tcW w:type="dxa" w:w="4320"/>
          </w:tcPr>
          <w:p>
            <w:r>
              <w:t>Trust badge strip (25 years, guarantee, phone, crypto)</w:t>
            </w:r>
          </w:p>
        </w:tc>
      </w:tr>
      <w:tr>
        <w:tc>
          <w:tcPr>
            <w:tcW w:type="dxa" w:w="4320"/>
          </w:tcPr>
          <w:p>
            <w:r>
              <w:t>Every package page</w:t>
            </w:r>
          </w:p>
        </w:tc>
        <w:tc>
          <w:tcPr>
            <w:tcW w:type="dxa" w:w="4320"/>
          </w:tcPr>
          <w:p>
            <w:r>
              <w:t>Money-back guarantee badge + value comparison messaging</w:t>
            </w:r>
          </w:p>
        </w:tc>
      </w:tr>
      <w:tr>
        <w:tc>
          <w:tcPr>
            <w:tcW w:type="dxa" w:w="4320"/>
          </w:tcPr>
          <w:p>
            <w:r>
              <w:t>Homepage</w:t>
            </w:r>
          </w:p>
        </w:tc>
        <w:tc>
          <w:tcPr>
            <w:tcW w:type="dxa" w:w="4320"/>
          </w:tcPr>
          <w:p>
            <w:r>
              <w:t>Full trust signals bar + testimonials/stats section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07 — Package Tier System</w:t>
      </w:r>
    </w:p>
    <w:p>
      <w:pPr>
        <w:pStyle w:val="Heading3"/>
      </w:pPr>
      <w:r>
        <w:t>Gold Packages (Privacy) — HERO PRODUCT ⭐</w:t>
      </w:r>
    </w:p>
    <w:p>
      <w:r>
        <w:t>Positioned as the recommended standard for anyone seeking privacy. "Most Popular" badge. Visually prominent — highlighted border, elevated card.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Formation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Renewal</w:t>
            </w:r>
          </w:p>
        </w:tc>
      </w:tr>
      <w:tr>
        <w:tc>
          <w:tcPr>
            <w:tcW w:type="dxa" w:w="2880"/>
          </w:tcPr>
          <w:p>
            <w:r>
              <w:t>Wyoming</w:t>
            </w:r>
          </w:p>
        </w:tc>
        <w:tc>
          <w:tcPr>
            <w:tcW w:type="dxa" w:w="2880"/>
          </w:tcPr>
          <w:p>
            <w:r>
              <w:t>$1,275</w:t>
            </w:r>
          </w:p>
        </w:tc>
        <w:tc>
          <w:tcPr>
            <w:tcW w:type="dxa" w:w="2880"/>
          </w:tcPr>
          <w:p>
            <w:r>
              <w:t>$525/yr (with nominees)</w:t>
            </w:r>
          </w:p>
        </w:tc>
      </w:tr>
      <w:tr>
        <w:tc>
          <w:tcPr>
            <w:tcW w:type="dxa" w:w="2880"/>
          </w:tcPr>
          <w:p>
            <w:r>
              <w:t>Nevada</w:t>
            </w:r>
          </w:p>
        </w:tc>
        <w:tc>
          <w:tcPr>
            <w:tcW w:type="dxa" w:w="2880"/>
          </w:tcPr>
          <w:p>
            <w:r>
              <w:t>$1,800</w:t>
            </w:r>
          </w:p>
        </w:tc>
        <w:tc>
          <w:tcPr>
            <w:tcW w:type="dxa" w:w="2880"/>
          </w:tcPr>
          <w:p>
            <w:r>
              <w:t>$525/yr (with nominees)</w:t>
            </w:r>
          </w:p>
        </w:tc>
      </w:tr>
    </w:tbl>
    <w:p>
      <w:r>
        <w:t>Included features:</w:t>
      </w:r>
    </w:p>
    <w:p>
      <w:pPr>
        <w:pStyle w:val="ListBullet"/>
      </w:pPr>
      <w:r>
        <w:t>✓ Year-round nominee directors &amp; officers</w:t>
      </w:r>
    </w:p>
    <w:p>
      <w:pPr>
        <w:pStyle w:val="ListBullet"/>
      </w:pPr>
      <w:r>
        <w:t>✓ Offshore record storage</w:t>
      </w:r>
    </w:p>
    <w:p>
      <w:pPr>
        <w:pStyle w:val="ListBullet"/>
      </w:pPr>
      <w:r>
        <w:t>✓ Full compliance package</w:t>
      </w:r>
    </w:p>
    <w:p>
      <w:pPr>
        <w:pStyle w:val="ListBullet"/>
      </w:pPr>
      <w:r>
        <w:t>✓ Registered agent included</w:t>
      </w:r>
    </w:p>
    <w:p>
      <w:pPr>
        <w:pStyle w:val="ListBullet"/>
      </w:pPr>
      <w:r>
        <w:t>✓ Corporate minutes maintenance</w:t>
      </w:r>
    </w:p>
    <w:p>
      <w:pPr>
        <w:pStyle w:val="ListBullet"/>
      </w:pPr>
      <w:r>
        <w:t>✓ All state filing fees included</w:t>
      </w:r>
    </w:p>
    <w:p>
      <w:pPr>
        <w:pStyle w:val="Heading3"/>
      </w:pPr>
      <w:r>
        <w:t>Silver Packages (Formation)</w:t>
      </w:r>
    </w:p>
    <w:p>
      <w:r>
        <w:t>Entry point for formation without privacy features. Clear upgrade messaging showing what Gold adds.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Formation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Renewal</w:t>
            </w:r>
          </w:p>
        </w:tc>
      </w:tr>
      <w:tr>
        <w:tc>
          <w:tcPr>
            <w:tcW w:type="dxa" w:w="2880"/>
          </w:tcPr>
          <w:p>
            <w:r>
              <w:t>Wyoming</w:t>
            </w:r>
          </w:p>
        </w:tc>
        <w:tc>
          <w:tcPr>
            <w:tcW w:type="dxa" w:w="2880"/>
          </w:tcPr>
          <w:p>
            <w:r>
              <w:t>$875</w:t>
            </w:r>
          </w:p>
        </w:tc>
        <w:tc>
          <w:tcPr>
            <w:tcW w:type="dxa" w:w="2880"/>
          </w:tcPr>
          <w:p>
            <w:r>
              <w:t>$325/yr</w:t>
            </w:r>
          </w:p>
        </w:tc>
      </w:tr>
      <w:tr>
        <w:tc>
          <w:tcPr>
            <w:tcW w:type="dxa" w:w="2880"/>
          </w:tcPr>
          <w:p>
            <w:r>
              <w:t>Nevada</w:t>
            </w:r>
          </w:p>
        </w:tc>
        <w:tc>
          <w:tcPr>
            <w:tcW w:type="dxa" w:w="2880"/>
          </w:tcPr>
          <w:p>
            <w:r>
              <w:t>$1,275</w:t>
            </w:r>
          </w:p>
        </w:tc>
        <w:tc>
          <w:tcPr>
            <w:tcW w:type="dxa" w:w="2880"/>
          </w:tcPr>
          <w:p>
            <w:r>
              <w:t>$325/yr</w:t>
            </w:r>
          </w:p>
        </w:tc>
      </w:tr>
    </w:tbl>
    <w:p>
      <w:r>
        <w:t>Included features:</w:t>
      </w:r>
    </w:p>
    <w:p>
      <w:pPr>
        <w:pStyle w:val="ListBullet"/>
      </w:pPr>
      <w:r>
        <w:t>✓ Full entity formation</w:t>
      </w:r>
    </w:p>
    <w:p>
      <w:pPr>
        <w:pStyle w:val="ListBullet"/>
      </w:pPr>
      <w:r>
        <w:t>✓ Registered agent included</w:t>
      </w:r>
    </w:p>
    <w:p>
      <w:pPr>
        <w:pStyle w:val="ListBullet"/>
      </w:pPr>
      <w:r>
        <w:t>✓ Annual report filing</w:t>
      </w:r>
    </w:p>
    <w:p>
      <w:pPr>
        <w:pStyle w:val="ListBullet"/>
      </w:pPr>
      <w:r>
        <w:t>✓ Corporate minutes</w:t>
      </w:r>
    </w:p>
    <w:p>
      <w:pPr>
        <w:pStyle w:val="ListBullet"/>
      </w:pPr>
      <w:r>
        <w:t>✓ All state filing fees included</w:t>
      </w:r>
    </w:p>
    <w:p>
      <w:r>
        <w:t>↑ Upgrade to Gold for full privacy</w:t>
      </w:r>
    </w:p>
    <w:p>
      <w:pPr>
        <w:pStyle w:val="Heading3"/>
      </w:pPr>
      <w:r>
        <w:t>Bronze Package</w:t>
      </w:r>
    </w:p>
    <w:p>
      <w:pPr>
        <w:pStyle w:val="ListBullet"/>
      </w:pPr>
      <w:r>
        <w:t>Nevada only</w:t>
      </w:r>
    </w:p>
    <w:p>
      <w:pPr>
        <w:pStyle w:val="ListBullet"/>
      </w:pPr>
      <w:r>
        <w:t>Budget option, minimal messaging investment</w:t>
      </w:r>
    </w:p>
    <w:p>
      <w:pPr>
        <w:pStyle w:val="ListBullet"/>
      </w:pPr>
      <w:r>
        <w:t>Basic entity formation + state filing fees + registered agent available</w:t>
      </w:r>
    </w:p>
    <w:p>
      <w:pPr>
        <w:pStyle w:val="ListBullet"/>
      </w:pPr>
      <w:r>
        <w:t>Exists for price-sensitive captures who may upgrade later</w:t>
      </w:r>
    </w:p>
    <w:p>
      <w:pPr>
        <w:pStyle w:val="Heading3"/>
      </w:pPr>
      <w:r>
        <w:t>Package Display Rules</w:t>
      </w:r>
    </w:p>
    <w:p>
      <w:pPr>
        <w:pStyle w:val="ListBullet"/>
      </w:pPr>
      <w:r>
        <w:t>✓ Always show Gold first (or highlighted center in 3-column layout)</w:t>
      </w:r>
    </w:p>
    <w:p>
      <w:pPr>
        <w:pStyle w:val="ListBullet"/>
      </w:pPr>
      <w:r>
        <w:t>✓ Always show renewal rate alongside formation price</w:t>
      </w:r>
    </w:p>
    <w:p>
      <w:pPr>
        <w:pStyle w:val="ListBullet"/>
      </w:pPr>
      <w:r>
        <w:t>✓ Always include "all-inclusive" badge</w:t>
      </w:r>
    </w:p>
    <w:p>
      <w:pPr>
        <w:pStyle w:val="ListBullet"/>
      </w:pPr>
      <w:r>
        <w:t>✗ Never show Bronze as the default or recommended option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08 — Iconography</w:t>
      </w:r>
    </w:p>
    <w:p>
      <w:r>
        <w:t>Library: Lucide React (MIT licensed, tree-shakeable, 1000+ icons)</w:t>
      </w:r>
    </w:p>
    <w:p>
      <w:r>
        <w:t>Style: Outline only (not filled) for consistency</w:t>
      </w:r>
    </w:p>
    <w:p>
      <w:r>
        <w:t>Color: Inherit from context — pillar color on pillar pages, muted in body text, white on dark backgrounds</w:t>
      </w:r>
    </w:p>
    <w:p>
      <w:pPr>
        <w:pStyle w:val="Heading3"/>
      </w:pPr>
      <w:r>
        <w:t>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16px</w:t>
            </w:r>
          </w:p>
        </w:tc>
        <w:tc>
          <w:tcPr>
            <w:tcW w:type="dxa" w:w="4320"/>
          </w:tcPr>
          <w:p>
            <w:r>
              <w:t>Inline icons</w:t>
            </w:r>
          </w:p>
        </w:tc>
      </w:tr>
      <w:tr>
        <w:tc>
          <w:tcPr>
            <w:tcW w:type="dxa" w:w="4320"/>
          </w:tcPr>
          <w:p>
            <w:r>
              <w:t>24px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40px</w:t>
            </w:r>
          </w:p>
        </w:tc>
        <w:tc>
          <w:tcPr>
            <w:tcW w:type="dxa" w:w="4320"/>
          </w:tcPr>
          <w:p>
            <w:r>
              <w:t>Feature blocks</w:t>
            </w:r>
          </w:p>
        </w:tc>
      </w:tr>
    </w:tbl>
    <w:p>
      <w:pPr>
        <w:pStyle w:val="Heading3"/>
      </w:pPr>
      <w:r>
        <w:t>Key Icon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</w:tr>
      <w:tr>
        <w:tc>
          <w:tcPr>
            <w:tcW w:type="dxa" w:w="4320"/>
          </w:tcPr>
          <w:p>
            <w:r>
              <w:t>Shield / Lock</w:t>
            </w:r>
          </w:p>
        </w:tc>
        <w:tc>
          <w:tcPr>
            <w:tcW w:type="dxa" w:w="4320"/>
          </w:tcPr>
          <w:p>
            <w:r>
              <w:t>Privacy</w:t>
            </w:r>
          </w:p>
        </w:tc>
      </w:tr>
      <w:tr>
        <w:tc>
          <w:tcPr>
            <w:tcW w:type="dxa" w:w="4320"/>
          </w:tcPr>
          <w:p>
            <w:r>
              <w:t>Vault / ShieldCheck</w:t>
            </w:r>
          </w:p>
        </w:tc>
        <w:tc>
          <w:tcPr>
            <w:tcW w:type="dxa" w:w="4320"/>
          </w:tcPr>
          <w:p>
            <w:r>
              <w:t>Asset Protection</w:t>
            </w:r>
          </w:p>
        </w:tc>
      </w:tr>
      <w:tr>
        <w:tc>
          <w:tcPr>
            <w:tcW w:type="dxa" w:w="4320"/>
          </w:tcPr>
          <w:p>
            <w:r>
              <w:t>Building2 / FileCheck</w:t>
            </w:r>
          </w:p>
        </w:tc>
        <w:tc>
          <w:tcPr>
            <w:tcW w:type="dxa" w:w="4320"/>
          </w:tcPr>
          <w:p>
            <w:r>
              <w:t>Formation</w:t>
            </w:r>
          </w:p>
        </w:tc>
      </w:tr>
      <w:tr>
        <w:tc>
          <w:tcPr>
            <w:tcW w:type="dxa" w:w="4320"/>
          </w:tcPr>
          <w:p>
            <w:r>
              <w:t>BookOpen / ClipboardCheck</w:t>
            </w:r>
          </w:p>
        </w:tc>
        <w:tc>
          <w:tcPr>
            <w:tcW w:type="dxa" w:w="4320"/>
          </w:tcPr>
          <w:p>
            <w:r>
              <w:t>Compliance</w:t>
            </w:r>
          </w:p>
        </w:tc>
      </w:tr>
      <w:tr>
        <w:tc>
          <w:tcPr>
            <w:tcW w:type="dxa" w:w="4320"/>
          </w:tcPr>
          <w:p>
            <w:r>
              <w:t>Clock</w:t>
            </w:r>
          </w:p>
        </w:tc>
        <w:tc>
          <w:tcPr>
            <w:tcW w:type="dxa" w:w="4320"/>
          </w:tcPr>
          <w:p>
            <w:r>
              <w:t>Year-round nominees</w:t>
            </w:r>
          </w:p>
        </w:tc>
      </w:tr>
      <w:tr>
        <w:tc>
          <w:tcPr>
            <w:tcW w:type="dxa" w:w="4320"/>
          </w:tcPr>
          <w:p>
            <w:r>
              <w:t>Globe</w:t>
            </w:r>
          </w:p>
        </w:tc>
        <w:tc>
          <w:tcPr>
            <w:tcW w:type="dxa" w:w="4320"/>
          </w:tcPr>
          <w:p>
            <w:r>
              <w:t>Offshore records</w:t>
            </w:r>
          </w:p>
        </w:tc>
      </w:tr>
      <w:tr>
        <w:tc>
          <w:tcPr>
            <w:tcW w:type="dxa" w:w="4320"/>
          </w:tcPr>
          <w:p>
            <w:r>
              <w:t>DollarSign</w:t>
            </w:r>
          </w:p>
        </w:tc>
        <w:tc>
          <w:tcPr>
            <w:tcW w:type="dxa" w:w="4320"/>
          </w:tcPr>
          <w:p>
            <w:r>
              <w:t>All-inclusive pricing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Specialist Team</w:t>
            </w:r>
          </w:p>
        </w:tc>
      </w:tr>
      <w:tr>
        <w:tc>
          <w:tcPr>
            <w:tcW w:type="dxa" w:w="4320"/>
          </w:tcPr>
          <w:p>
            <w:r>
              <w:t>MapPin</w:t>
            </w:r>
          </w:p>
        </w:tc>
        <w:tc>
          <w:tcPr>
            <w:tcW w:type="dxa" w:w="4320"/>
          </w:tcPr>
          <w:p>
            <w:r>
              <w:t>Reno mailing address</w:t>
            </w:r>
          </w:p>
        </w:tc>
      </w:tr>
      <w:tr>
        <w:tc>
          <w:tcPr>
            <w:tcW w:type="dxa" w:w="4320"/>
          </w:tcPr>
          <w:p>
            <w:r>
              <w:t>Award</w:t>
            </w:r>
          </w:p>
        </w:tc>
        <w:tc>
          <w:tcPr>
            <w:tcW w:type="dxa" w:w="4320"/>
          </w:tcPr>
          <w:p>
            <w:r>
              <w:t>25 years experience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Human support</w:t>
            </w:r>
          </w:p>
        </w:tc>
      </w:tr>
    </w:tbl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09 — Photography Direction</w:t>
      </w:r>
    </w:p>
    <w:p>
      <w:pPr>
        <w:pStyle w:val="Heading3"/>
      </w:pPr>
      <w:r>
        <w:t>✅ DO</w:t>
      </w:r>
    </w:p>
    <w:p>
      <w:pPr>
        <w:pStyle w:val="ListBullet"/>
      </w:pPr>
      <w:r>
        <w:t>Team Photography: Professional brand imagery for About page. Abstract or team-focused visuals rather than individual portraits.</w:t>
      </w:r>
    </w:p>
    <w:p>
      <w:pPr>
        <w:pStyle w:val="ListBullet"/>
      </w:pPr>
      <w:r>
        <w:t>Abstract / Conceptual: For hero sections and pillar headers, abstract shield/lock/vault imagery or geometric privacy-themed graphics preferred over stock photography.</w:t>
      </w:r>
    </w:p>
    <w:p>
      <w:pPr>
        <w:pStyle w:val="Heading3"/>
      </w:pPr>
      <w:r>
        <w:t>❌ DON'T</w:t>
      </w:r>
    </w:p>
    <w:p>
      <w:pPr>
        <w:pStyle w:val="ListBullet"/>
      </w:pPr>
      <w:r>
        <w:t>No Stock People: Avoid generic diverse-team-in-conference-room stock photography. It undermines the "real office, real people" trust signal.</w:t>
      </w:r>
    </w:p>
    <w:p>
      <w:pPr>
        <w:pStyle w:val="ListBullet"/>
      </w:pPr>
      <w:r>
        <w:t>Privacy Alignment: Never use photos showing identifiable individuals as "clients" — it contradicts the privacy positioning.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10 — Content Patterns</w:t>
      </w:r>
    </w:p>
    <w:p>
      <w:pPr>
        <w:pStyle w:val="Heading3"/>
      </w:pPr>
      <w:r>
        <w:t>The 80/20 Progressive Disclosure Model</w:t>
      </w:r>
    </w:p>
    <w:p>
      <w:r>
        <w:t>All service pages serve two audiences:</w:t>
      </w:r>
    </w:p>
    <w:p>
      <w:pPr>
        <w:pStyle w:val="Heading4"/>
      </w:pPr>
      <w:r>
        <w:t>For 80% (Scanners)</w:t>
      </w:r>
    </w:p>
    <w:p>
      <w:pPr>
        <w:pStyle w:val="ListBullet"/>
      </w:pPr>
      <w:r>
        <w:t>Clear value proposition in 8 words or fewer</w:t>
      </w:r>
    </w:p>
    <w:p>
      <w:pPr>
        <w:pStyle w:val="ListBullet"/>
      </w:pPr>
      <w:r>
        <w:t>3–5 sentence overview with key benefits</w:t>
      </w:r>
    </w:p>
    <w:p>
      <w:pPr>
        <w:pStyle w:val="ListBullet"/>
      </w:pPr>
      <w:r>
        <w:t>Visual comparison tables</w:t>
      </w:r>
    </w:p>
    <w:p>
      <w:pPr>
        <w:pStyle w:val="ListBullet"/>
      </w:pPr>
      <w:r>
        <w:t>Prominent CTA above the fold</w:t>
      </w:r>
    </w:p>
    <w:p>
      <w:pPr>
        <w:pStyle w:val="ListBullet"/>
      </w:pPr>
      <w:r>
        <w:t>Trust badge strip</w:t>
      </w:r>
    </w:p>
    <w:p>
      <w:pPr>
        <w:pStyle w:val="Heading4"/>
      </w:pPr>
      <w:r>
        <w:t>For 20% (Researchers)</w:t>
      </w:r>
    </w:p>
    <w:p>
      <w:pPr>
        <w:pStyle w:val="ListBullet"/>
      </w:pPr>
      <w:r>
        <w:t>Expandable "Read More" sections</w:t>
      </w:r>
    </w:p>
    <w:p>
      <w:pPr>
        <w:pStyle w:val="ListBullet"/>
      </w:pPr>
      <w:r>
        <w:t>Detailed FAQs (accordion, 10–15 questions)</w:t>
      </w:r>
    </w:p>
    <w:p>
      <w:pPr>
        <w:pStyle w:val="ListBullet"/>
      </w:pPr>
      <w:r>
        <w:t>Related deep-dive content links</w:t>
      </w:r>
    </w:p>
    <w:p>
      <w:pPr>
        <w:pStyle w:val="ListBullet"/>
      </w:pPr>
      <w:r>
        <w:t>Full testimonials and case studies</w:t>
      </w:r>
    </w:p>
    <w:p>
      <w:pPr>
        <w:pStyle w:val="ListBullet"/>
      </w:pPr>
      <w:r>
        <w:t>Itemized pricing breakdowns</w:t>
      </w:r>
    </w:p>
    <w:p>
      <w:pPr>
        <w:pStyle w:val="Heading3"/>
      </w:pPr>
      <w:r>
        <w:t>CTA Hierarchy</w:t>
      </w:r>
    </w:p>
    <w:p>
      <w:r>
        <w:t>Every page has exactly one primary CTA style and one secondary. Never three competing styles.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Bold, amber. Action verb + outcome.</w:t>
            </w:r>
          </w:p>
        </w:tc>
        <w:tc>
          <w:tcPr>
            <w:tcW w:type="dxa" w:w="2880"/>
          </w:tcPr>
          <w:p>
            <w:r>
              <w:t>"Protect Your Privacy →", "Start Your Company →"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Outline or ghost style. Alternative path.</w:t>
            </w:r>
          </w:p>
        </w:tc>
        <w:tc>
          <w:tcPr>
            <w:tcW w:type="dxa" w:w="2880"/>
          </w:tcPr>
          <w:p>
            <w:r>
              <w:t>"View Packages &amp; Pricing →", "Schedule a Consultation →"</w:t>
            </w:r>
          </w:p>
        </w:tc>
      </w:tr>
      <w:tr>
        <w:tc>
          <w:tcPr>
            <w:tcW w:type="dxa" w:w="2880"/>
          </w:tcPr>
          <w:p>
            <w:r>
              <w:t>Consultation Safety Net</w:t>
            </w:r>
          </w:p>
        </w:tc>
        <w:tc>
          <w:tcPr>
            <w:tcW w:type="dxa" w:w="2880"/>
          </w:tcPr>
          <w:p>
            <w:r>
              <w:t>Subtle link. Every self-service CTA must have this nearby.</w:t>
            </w:r>
          </w:p>
        </w:tc>
        <w:tc>
          <w:tcPr>
            <w:tcW w:type="dxa" w:w="2880"/>
          </w:tcPr>
          <w:p>
            <w:r>
              <w:t>"Talk to us instead"</w:t>
            </w:r>
          </w:p>
        </w:tc>
      </w:tr>
    </w:tbl>
    <w:p>
      <w:pPr>
        <w:pStyle w:val="Heading3"/>
      </w:pPr>
      <w:r>
        <w:t>CTA Anti-Pattern</w:t>
      </w:r>
    </w:p>
    <w:p>
      <w:r>
        <w:t>✓ Rule: One primary + one secondary per page. Every self-service CTA must have a "Talk to us" safety net nearby. Never three competing button styles in the same section.</w:t>
      </w:r>
    </w:p>
    <w:p>
      <w:r>
        <w:t>✗ Avoid: Three competing primary-style buttons (e.g., amber "Get Started" + blue "Learn More" + green "Contact") create decision paralysis and dilute conversion.</w:t>
      </w:r>
    </w:p>
    <w:p>
      <w:r>
        <w:rPr>
          <w:color w:val="C8C8C8"/>
        </w:rPr>
        <w:t>____________________________________________________________</w:t>
      </w:r>
    </w:p>
    <w:p>
      <w:pPr>
        <w:pStyle w:val="Heading2"/>
      </w:pPr>
      <w:r>
        <w:t>11 — Competitive Positioning</w:t>
      </w:r>
    </w:p>
    <w:p>
      <w:pPr>
        <w:pStyle w:val="Heading3"/>
      </w:pPr>
      <w:r>
        <w:t>Positioning Map</w:t>
      </w:r>
    </w:p>
    <w:p>
      <w:r>
        <w:rPr>
          <w:rFonts w:ascii="Consolas" w:hAnsi="Consolas"/>
          <w:sz w:val="18"/>
        </w:rPr>
        <w:t xml:space="preserve">                    Consultation-Required</w:t>
        <w:br/>
        <w:t xml:space="preserve">                           ▲</w:t>
        <w:br/>
        <w:t xml:space="preserve">                           │</w:t>
        <w:br/>
        <w:t xml:space="preserve">              (empty)      │   Anderson Advisors</w:t>
        <w:br/>
        <w:t xml:space="preserve">                           │   NCH Inc</w:t>
        <w:br/>
        <w:t xml:space="preserve">                           │</w:t>
        <w:br/>
        <w:t xml:space="preserve">   Budget ($0) ────────────┼──────────────── Premium ($5K+)</w:t>
        <w:br/>
        <w:t xml:space="preserve">                           │</w:t>
        <w:br/>
        <w:t xml:space="preserve">              ZenBusiness   │   ★ INCORPORATE123 ★</w:t>
        <w:br/>
        <w:t xml:space="preserve">              LegalZoom     │     (White space!)</w:t>
        <w:br/>
        <w:t xml:space="preserve">              Incfile       │</w:t>
        <w:br/>
        <w:t xml:space="preserve">                           │</w:t>
        <w:br/>
        <w:t xml:space="preserve">                           ▼</w:t>
        <w:br/>
        <w:t xml:space="preserve">                       Self-Service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Quadrant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Players</w:t>
            </w:r>
          </w:p>
        </w:tc>
      </w:tr>
      <w:tr>
        <w:tc>
          <w:tcPr>
            <w:tcW w:type="dxa" w:w="4320"/>
          </w:tcPr>
          <w:p>
            <w:r>
              <w:t>Budget + Self-Service</w:t>
            </w:r>
          </w:p>
        </w:tc>
        <w:tc>
          <w:tcPr>
            <w:tcW w:type="dxa" w:w="4320"/>
          </w:tcPr>
          <w:p>
            <w:r>
              <w:t>ZenBusiness, LegalZoom, Incfile</w:t>
            </w:r>
          </w:p>
        </w:tc>
      </w:tr>
      <w:tr>
        <w:tc>
          <w:tcPr>
            <w:tcW w:type="dxa" w:w="4320"/>
          </w:tcPr>
          <w:p>
            <w:r>
              <w:t>Budget + Consultation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Premium + Consultation</w:t>
            </w:r>
          </w:p>
        </w:tc>
        <w:tc>
          <w:tcPr>
            <w:tcW w:type="dxa" w:w="4320"/>
          </w:tcPr>
          <w:p>
            <w:r>
              <w:t>Anderson Advisors, NCH Inc</w:t>
            </w:r>
          </w:p>
        </w:tc>
      </w:tr>
      <w:tr>
        <w:tc>
          <w:tcPr>
            <w:tcW w:type="dxa" w:w="4320"/>
          </w:tcPr>
          <w:p>
            <w:r>
              <w:t>Premium + Self-Service</w:t>
            </w:r>
          </w:p>
        </w:tc>
        <w:tc>
          <w:tcPr>
            <w:tcW w:type="dxa" w:w="4320"/>
          </w:tcPr>
          <w:p>
            <w:r>
              <w:t>Incorporate123 (unoccupied white space)</w:t>
            </w:r>
          </w:p>
        </w:tc>
      </w:tr>
    </w:tbl>
    <w:p>
      <w:r>
        <w:t>The brand occupies the premium-but-self-service quadrant that NO competitor currently fills. All messaging, design, and UX decisions should reinforce this position.</w:t>
      </w:r>
    </w:p>
    <w:p>
      <w:r>
        <w:rPr>
          <w:color w:val="C8C8C8"/>
        </w:rPr>
        <w:t>____________________________________________________________</w:t>
      </w:r>
    </w:p>
    <w:p>
      <w:r>
        <w:t>Incorporate123 Brand Guide v3.0 — Confidential — BIT Studios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