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E75B6"/>
          <w:spacing w:val="200"/>
          <w:sz w:val="18"/>
          <w:szCs w:val="18"/>
        </w:rPr>
        <w:t xml:space="preserve">INCORPORATE123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Supplemental Questions</w:t>
      </w:r>
    </w:p>
    <w:p>
      <w:pPr>
        <w:spacing w:after="2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Packages, Brand, Operations &amp; Follow-Ups</w:t>
      </w:r>
    </w:p>
    <w:p>
      <w:pPr>
        <w:pBdr>
          <w:bottom w:val="single" w:color="2E75B6" w:sz="8" w:space="1"/>
        </w:pBdr>
        <w:spacing w:after="360"/>
      </w:pP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Packages &amp; Pricing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Package restructuring is a core deliverable. We need clarity on the final structure.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Can you walk us through every current package and what’s included? We need the definitive list to map the consolidation.</w:t>
      </w:r>
    </w:p>
    <w:p>
      <w:pPr>
        <w:spacing w:after="1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This builds on the consolidation approach you’ve already agreed to. Now we need the specifics: which packages exist today, what overlaps, and what each one includes so we can map them to the new base + add-on structure.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How many base packages are you envisioning? Two tiers? Three tiers (e.g., Basic / Executive / MAX)? Something else?</w:t>
      </w:r>
    </w:p>
    <w:p>
      <w:pPr>
        <w:spacing w:after="1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You confirmed “base packages (plural)” with optional add-ons. We need the tier count to design the package page layout and comparison tables.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Beyond what’s listed at incorporate123.co/services/add-on-services/, are there any add-on services that aren’t currently on the site?</w:t>
      </w:r>
    </w:p>
    <w:p>
      <w:pPr>
        <w:spacing w:after="1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We’re using the add-on services page as the definitive source, but there may be unlisted services offered by phone or email.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Will pricing stay in the current range ($1,800–$2,100), or is this redesign also an opportunity to adjust pricing? Should we design package pages to accommodate future price changes easily?</w:t>
      </w:r>
    </w:p>
    <w:p>
      <w:pPr>
        <w:spacing w:after="1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Affects both the visual design of package pages and how we build the CMS templates. Also informs competitive positioning.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You have aged shelf entities dating back to 2000 ($2,000–$12,000). How do you want these presented — browsable inventory with real-time availability, or inquiry-based?</w:t>
      </w:r>
    </w:p>
    <w:p>
      <w:pPr>
        <w:spacing w:after="1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This is a unique product that needs its own UX treatment. How many are typically available at any given time? Does inventory change frequently?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How do you want to handle the LLC vs. Corporation distinction on package pages? Separate packages, or a toggle/selector within the same page?</w:t>
      </w:r>
    </w:p>
    <w:p>
      <w:pPr>
        <w:spacing w:after="1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Affects information architecture and page count. A toggle keeps pages leaner; separate pages are better for SEO if both terms have search volume.</w:t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Brand &amp; Design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Design starts in Week 2. We need direction before wireframing begins.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Do you have current logos, brand colors, fonts, or a style guide? Or is this a fresh brand identity as part of the redesign?</w:t>
      </w:r>
    </w:p>
    <w:p>
      <w:pPr>
        <w:spacing w:after="1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If assets exist, we build from them. If not, we’ll create a design system from scratch, which adds scope to the design phase.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Are there any websites — competitor or otherwise — whose design you particularly like or dislike? Any visual style preferences?</w:t>
      </w:r>
    </w:p>
    <w:p>
      <w:pPr>
        <w:spacing w:after="1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Gives us a design direction before wireframing. “I like how X does their pricing page” is more actionable than abstract style discussions.</w:t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Operations &amp; Process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These affect how the site functions day-to-day post-launch.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When someone clicks “Schedule a Consultation” or “Get Started,” what’s the ideal process? Phone call, form submission, calendar booking tool (Calendly, etc.)?</w:t>
      </w:r>
    </w:p>
    <w:p>
      <w:pPr>
        <w:spacing w:after="1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Every CTA on the site needs to point somewhere. This determines whether we need a booking integration, a custom intake form, or a simple contact page.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Once someone completes checkout, what’s the fulfillment workflow? Who processes orders, what’s the turnaround, and how does the client get their documents?</w:t>
      </w:r>
    </w:p>
    <w:p>
      <w:pPr>
        <w:spacing w:after="1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Informs the post-purchase UX: confirmation pages, status updates, document delivery, and any client portal needs.</w:t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Follow-Up Items for David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Action items assigned to David from previous conversations. Check status on each.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BBB Alternative / Review Platform — Have you had a chance to research options? Any preference between Trustpilot, G2, or another platform?</w:t>
      </w:r>
    </w:p>
    <w:p>
      <w:pPr>
        <w:spacing w:after="1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David was going to look into BBB alternatives. Competitors NCH and WCS both use Trustpilot successfully. We need a decision before designing trust signal placement.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Domain Decision — Are we going with incorporate123.com or staying on incorporate123.co? Final call needed.</w:t>
      </w:r>
    </w:p>
    <w:p>
      <w:pPr>
        <w:spacing w:after="1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This affects the entire redirect plan and is a dependency for development. Every URL in the migration map changes based on this decision.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Analytics Access — Are GA4 and Google Search Console installed and accessible? Can you share access with the team?</w:t>
      </w:r>
    </w:p>
    <w:p>
      <w:pPr>
        <w:spacing w:after="1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Irish and the team were setting up fresh installs. We need viewer/editor access to begin tracking baseline performance before the migration.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360"/>
      </w:tabs>
      <w:spacing w:before="0"/>
    </w:pPr>
    <w:r>
      <w:rPr>
        <w:rFonts w:ascii="Arial" w:cs="Arial" w:eastAsia="Arial" w:hAnsi="Arial"/>
        <w:color w:val="666666"/>
        <w:sz w:val="16"/>
        <w:szCs w:val="16"/>
      </w:rPr>
      <w:t xml:space="preserve">Confidential — BIT Studios × Incorporate123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BIT Studios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Incorporate123 — Supplemental Questions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2026-03-02T10:39:35.693Z</dcterms:created>
  <dcterms:modified xsi:type="dcterms:W3CDTF">2026-03-02T10:39:35.694Z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