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200"/>
        <w:jc w:val="center"/>
      </w:pPr>
      <w:r>
        <w:rPr>
          <w:rFonts w:ascii="Arial" w:cs="Arial" w:eastAsia="Arial" w:hAnsi="Arial"/>
          <w:b/>
          <w:bCs/>
          <w:color w:val="2E86C1"/>
          <w:spacing w:val="200"/>
          <w:sz w:val="28"/>
          <w:szCs w:val="28"/>
        </w:rPr>
        <w:t xml:space="preserve">INCORPORATE123.CO</w:t>
      </w:r>
    </w:p>
    <w:p>
      <w:pPr>
        <w:pBdr>
          <w:bottom w:val="single" w:color="2E86C1" w:sz="3" w:space="8"/>
        </w:pBdr>
        <w:spacing w:after="100"/>
        <w:jc w:val="center"/>
      </w:pPr>
      <w:r>
        <w:rPr>
          <w:rFonts w:ascii="Arial" w:cs="Arial" w:eastAsia="Arial" w:hAnsi="Arial"/>
          <w:color w:val="666666"/>
          <w:sz w:val="22"/>
          <w:szCs w:val="22"/>
        </w:rPr>
        <w:t xml:space="preserve">Phase 1: Discovery &amp; Strategy</w:t>
      </w:r>
    </w:p>
    <w:p>
      <w:pPr>
        <w:spacing w:after="400" w:before="400"/>
      </w:pPr>
    </w:p>
    <w:p>
      <w:pPr>
        <w:spacing w:after="160"/>
        <w:jc w:val="center"/>
      </w:pPr>
      <w:r>
        <w:rPr>
          <w:rFonts w:ascii="Arial" w:cs="Arial" w:eastAsia="Arial" w:hAnsi="Arial"/>
          <w:b/>
          <w:bCs/>
          <w:color w:val="1B4F72"/>
          <w:sz w:val="48"/>
          <w:szCs w:val="48"/>
        </w:rPr>
        <w:t xml:space="preserve">Current Site Audit</w:t>
      </w:r>
    </w:p>
    <w:p>
      <w:pPr>
        <w:spacing w:after="120"/>
        <w:jc w:val="center"/>
      </w:pPr>
      <w:r>
        <w:rPr>
          <w:rFonts w:ascii="Arial" w:cs="Arial" w:eastAsia="Arial" w:hAnsi="Arial"/>
          <w:color w:val="2E86C1"/>
          <w:sz w:val="32"/>
          <w:szCs w:val="32"/>
        </w:rPr>
        <w:t xml:space="preserve">Executive Summary</w:t>
      </w:r>
    </w:p>
    <w:p>
      <w:pPr>
        <w:spacing w:after="200" w:before="200"/>
      </w:pPr>
    </w:p>
    <w:p>
      <w:pPr>
        <w:spacing w:after="80"/>
        <w:jc w:val="center"/>
      </w:pPr>
      <w:r>
        <w:rPr>
          <w:rFonts w:ascii="Arial" w:cs="Arial" w:eastAsia="Arial" w:hAnsi="Arial"/>
          <w:color w:val="666666"/>
          <w:sz w:val="20"/>
          <w:szCs w:val="20"/>
        </w:rPr>
        <w:t xml:space="preserve">Crawl Data: 392 URLs • 325 Unique Pages • 23 Template Types</w:t>
      </w:r>
    </w:p>
    <w:p>
      <w:pPr>
        <w:spacing w:after="600" w:before="600"/>
      </w:pPr>
    </w:p>
    <w:p>
      <w:pPr>
        <w:spacing w:after="80"/>
        <w:jc w:val="center"/>
      </w:pPr>
      <w:r>
        <w:rPr>
          <w:rFonts w:ascii="Arial" w:cs="Arial" w:eastAsia="Arial" w:hAnsi="Arial"/>
          <w:color w:val="666666"/>
          <w:sz w:val="22"/>
          <w:szCs w:val="22"/>
        </w:rPr>
        <w:t xml:space="preserve">Prepared by: BIT Studios</w:t>
      </w:r>
    </w:p>
    <w:p>
      <w:pPr>
        <w:spacing w:after="80"/>
        <w:jc w:val="center"/>
      </w:pPr>
      <w:r>
        <w:rPr>
          <w:rFonts w:ascii="Arial" w:cs="Arial" w:eastAsia="Arial" w:hAnsi="Arial"/>
          <w:color w:val="666666"/>
          <w:sz w:val="22"/>
          <w:szCs w:val="22"/>
        </w:rPr>
        <w:t xml:space="preserve">Prepared for: Incorporate123 (David)</w:t>
      </w:r>
    </w:p>
    <w:p>
      <w:pPr>
        <w:spacing w:after="80"/>
        <w:jc w:val="center"/>
      </w:pPr>
      <w:r>
        <w:rPr>
          <w:rFonts w:ascii="Arial" w:cs="Arial" w:eastAsia="Arial" w:hAnsi="Arial"/>
          <w:color w:val="666666"/>
          <w:sz w:val="22"/>
          <w:szCs w:val="22"/>
        </w:rPr>
        <w:t xml:space="preserve">February 2026</w:t>
      </w:r>
    </w:p>
    <w:p>
      <w:pPr>
        <w:spacing w:after="400" w:before="400"/>
      </w:pPr>
    </w:p>
    <w:p>
      <w:pPr>
        <w:jc w:val="center"/>
      </w:pPr>
      <w:r>
        <w:rPr>
          <w:rFonts w:ascii="Arial" w:cs="Arial" w:eastAsia="Arial" w:hAnsi="Arial"/>
          <w:b/>
          <w:bCs/>
          <w:color w:val="BDC3C7"/>
          <w:spacing w:val="15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Bdr>
          <w:bottom w:val="single" w:color="2E86C1" w:sz="3" w:space="4"/>
        </w:pBdr>
        <w:spacing w:after="200" w:before="360"/>
      </w:pPr>
      <w:r>
        <w:rPr>
          <w:rFonts w:ascii="Arial" w:cs="Arial" w:eastAsia="Arial" w:hAnsi="Arial"/>
          <w:b/>
          <w:bCs/>
          <w:color w:val="1B4F72"/>
          <w:sz w:val="32"/>
          <w:szCs w:val="32"/>
        </w:rPr>
        <w:t xml:space="preserve">1. Audit Overview</w:t>
      </w:r>
    </w:p>
    <w:p>
      <w:pPr>
        <w:spacing w:after="120" w:line="276"/>
      </w:pPr>
      <w:r>
        <w:rPr>
          <w:rFonts w:ascii="Arial" w:cs="Arial" w:eastAsia="Arial" w:hAnsi="Arial"/>
          <w:color w:val="333333"/>
          <w:sz w:val="21"/>
          <w:szCs w:val="21"/>
        </w:rPr>
        <w:t xml:space="preserve">We performed a comprehensive crawl of incorporate123.co on February 27, 2026, capturing every internal HTML page the site serves. This executive summary distills the findings into strategic insights that directly inform the site architecture, content migration, and redirect plan for the redesign.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color="auto" w:val="clear"/>
            <w:tcMar>
              <w:top w:type="dxa" w:w="120"/>
              <w:left w:type="dxa" w:w="200"/>
              <w:bottom w:type="dxa" w:w="120"/>
              <w:right w:type="dxa" w:w="200"/>
            </w:tcMar>
          </w:tcPr>
          <w:p>
            <w:pPr>
              <w:spacing w:after="60"/>
            </w:pPr>
            <w:r>
              <w:rPr>
                <w:rFonts w:ascii="Arial" w:cs="Arial" w:eastAsia="Arial" w:hAnsi="Arial"/>
                <w:b/>
                <w:bCs/>
                <w:color w:val="1B4F72"/>
                <w:sz w:val="21"/>
                <w:szCs w:val="21"/>
              </w:rPr>
              <w:t xml:space="preserve">Bottom Line</w:t>
            </w:r>
          </w:p>
          <w:p>
            <w:pPr>
              <w:spacing w:after="0"/>
            </w:pPr>
            <w:r>
              <w:rPr>
                <w:rFonts w:ascii="Arial" w:cs="Arial" w:eastAsia="Arial" w:hAnsi="Arial"/>
                <w:color w:val="444444"/>
                <w:sz w:val="20"/>
                <w:szCs w:val="20"/>
              </w:rPr>
              <w:t xml:space="preserve">The site is significantly larger and more fragmented than initial estimates suggested. The crawl found 392 URLs (vs. ~171 estimated), 325 unique paths, and 23 distinct template types (vs. 15 estimated). The Learning Center alone contains 244 URLs with 188 individual FAQ items across 24 categories — nearly all sharing a single generic page title. Despite the scale, the consolidation strategy remains sound: most of this volume is duplicate, parameterized, or thin content that will be stronger once merged into the new pillar/cluster architecture.</w:t>
            </w:r>
          </w:p>
        </w:tc>
      </w:tr>
    </w:tbl>
    <w:p>
      <w:pPr>
        <w:pStyle w:val="Heading1"/>
        <w:pBdr>
          <w:bottom w:val="single" w:color="2E86C1" w:sz="3" w:space="4"/>
        </w:pBdr>
        <w:spacing w:after="200" w:before="360"/>
      </w:pPr>
      <w:r>
        <w:rPr>
          <w:rFonts w:ascii="Arial" w:cs="Arial" w:eastAsia="Arial" w:hAnsi="Arial"/>
          <w:b/>
          <w:bCs/>
          <w:color w:val="1B4F72"/>
          <w:sz w:val="32"/>
          <w:szCs w:val="32"/>
        </w:rPr>
        <w:t xml:space="preserve">2. Crawl Results at a Glance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6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w:t>
            </w:r>
          </w:p>
        </w:tc>
        <w:tc>
          <w:tcPr>
            <w:tcW w:type="dxa" w:w="16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w:t>
            </w:r>
          </w:p>
        </w:tc>
        <w:tc>
          <w:tcPr>
            <w:tcW w:type="dxa" w:w="296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Variance &amp; Impact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Total URLs Crawled</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~171</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392</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Order pages (43 variants) and LC items drive the gap</w:t>
            </w:r>
          </w:p>
        </w:tc>
      </w:tr>
      <w:tr>
        <w:tc>
          <w:tcPr>
            <w:tcW w:type="dxa" w:w="3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Unique URL Paths</w:t>
            </w:r>
          </w:p>
        </w:tc>
        <w:tc>
          <w:tcPr>
            <w:tcW w:type="dxa" w:w="1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~171</w:t>
            </w:r>
          </w:p>
        </w:tc>
        <w:tc>
          <w:tcPr>
            <w:tcW w:type="dxa" w:w="1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325</w:t>
            </w:r>
          </w:p>
        </w:tc>
        <w:tc>
          <w:tcPr>
            <w:tcW w:type="dxa" w:w="29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After removing trailing-slash duplicates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Unique Content (by hash)</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327</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49 groups serve identical content at different URLs</w:t>
            </w:r>
          </w:p>
        </w:tc>
      </w:tr>
      <w:tr>
        <w:tc>
          <w:tcPr>
            <w:tcW w:type="dxa" w:w="3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Unique Content Pages</w:t>
            </w:r>
          </w:p>
        </w:tc>
        <w:tc>
          <w:tcPr>
            <w:tcW w:type="dxa" w:w="1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~129</w:t>
            </w:r>
          </w:p>
        </w:tc>
        <w:tc>
          <w:tcPr>
            <w:tcW w:type="dxa" w:w="1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~276</w:t>
            </w:r>
          </w:p>
        </w:tc>
        <w:tc>
          <w:tcPr>
            <w:tcW w:type="dxa" w:w="29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Excluding 43 order variants + 6 broken pages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Template Types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23</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More granular service/add-on page types than expected</w:t>
            </w:r>
          </w:p>
        </w:tc>
      </w:tr>
      <w:tr>
        <w:tc>
          <w:tcPr>
            <w:tcW w:type="dxa" w:w="3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Learning Center FAQ Items</w:t>
            </w:r>
          </w:p>
        </w:tc>
        <w:tc>
          <w:tcPr>
            <w:tcW w:type="dxa" w:w="1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~111</w:t>
            </w:r>
          </w:p>
        </w:tc>
        <w:tc>
          <w:tcPr>
            <w:tcW w:type="dxa" w:w="1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188</w:t>
            </w:r>
          </w:p>
        </w:tc>
        <w:tc>
          <w:tcPr>
            <w:tcW w:type="dxa" w:w="29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70% more FAQ content to consolidate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FAQ Categories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24</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Each is a landing page with sub-items</w:t>
            </w:r>
          </w:p>
        </w:tc>
      </w:tr>
      <w:tr>
        <w:tc>
          <w:tcPr>
            <w:tcW w:type="dxa" w:w="3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SB60 Legacy Pages</w:t>
            </w:r>
          </w:p>
        </w:tc>
        <w:tc>
          <w:tcPr>
            <w:tcW w:type="dxa" w:w="1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10</w:t>
            </w:r>
          </w:p>
        </w:tc>
        <w:tc>
          <w:tcPr>
            <w:tcW w:type="dxa" w:w="29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Outdated 2013 legislation paths — redirect only</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Order Page Variants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43</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Single dynamic checkout with 43 parameterized states</w:t>
            </w:r>
          </w:p>
        </w:tc>
      </w:tr>
      <w:tr>
        <w:tc>
          <w:tcPr>
            <w:tcW w:type="dxa" w:w="3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404 Broken Pages</w:t>
            </w:r>
          </w:p>
        </w:tc>
        <w:tc>
          <w:tcPr>
            <w:tcW w:type="dxa" w:w="1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9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Internal links pointing to non-existent service pages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New Target Pages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~71</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55–71+</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Consolidation target confirmed viable</w:t>
            </w:r>
          </w:p>
        </w:tc>
      </w:tr>
    </w:tbl>
    <w:p>
      <w:pPr>
        <w:pStyle w:val="Heading1"/>
        <w:pBdr>
          <w:bottom w:val="single" w:color="2E86C1" w:sz="3" w:space="4"/>
        </w:pBdr>
        <w:spacing w:after="200" w:before="360"/>
      </w:pPr>
      <w:r>
        <w:rPr>
          <w:rFonts w:ascii="Arial" w:cs="Arial" w:eastAsia="Arial" w:hAnsi="Arial"/>
          <w:b/>
          <w:bCs/>
          <w:color w:val="1B4F72"/>
          <w:sz w:val="32"/>
          <w:szCs w:val="32"/>
        </w:rPr>
        <w:t xml:space="preserve">3. Where the URLs Live</w:t>
      </w:r>
    </w:p>
    <w:p>
      <w:pPr>
        <w:spacing w:after="120" w:line="276"/>
      </w:pPr>
      <w:r>
        <w:rPr>
          <w:rFonts w:ascii="Arial" w:cs="Arial" w:eastAsia="Arial" w:hAnsi="Arial"/>
          <w:color w:val="333333"/>
          <w:sz w:val="21"/>
          <w:szCs w:val="21"/>
        </w:rPr>
        <w:t xml:space="preserve">The 392 crawled URLs break down into six major sections. The Learning Center dominates, accounting for 62% of all URLs on the site.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12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URLs</w:t>
            </w:r>
          </w:p>
        </w:tc>
        <w:tc>
          <w:tcPr>
            <w:tcW w:type="dxa" w:w="12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 of Site</w:t>
            </w:r>
          </w:p>
        </w:tc>
        <w:tc>
          <w:tcPr>
            <w:tcW w:type="dxa" w:w="436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What’s There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Learning Center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244</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62%</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24 category pages, 188 FAQ items, 10 SB60 legacy, 18 legal refs, 2 main pages</w:t>
            </w:r>
          </w:p>
        </w:tc>
      </w:tr>
      <w:tr>
        <w:tc>
          <w:tcPr>
            <w:tcW w:type="dxa" w:w="2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Services</w:t>
            </w:r>
          </w:p>
        </w:tc>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63</w:t>
            </w:r>
          </w:p>
        </w:tc>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43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Packages (9), privacy/nominee (2), registered agent, 33 add-ons/detail pages, comparison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Order (Checkout)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43</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Single dynamic page with 43 parameterized variants</w:t>
            </w:r>
          </w:p>
        </w:tc>
      </w:tr>
      <w:tr>
        <w:tc>
          <w:tcPr>
            <w:tcW w:type="dxa" w:w="2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Offshore Services</w:t>
            </w:r>
          </w:p>
        </w:tc>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23</w:t>
            </w:r>
          </w:p>
        </w:tc>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3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Nevis, BVI, Panama, HK, Bahamas trust, IRS compliance, banking</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About / Contact / Utility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About, testimonials, privacy policy, contact, sitemap, send-to-friend</w:t>
            </w:r>
          </w:p>
        </w:tc>
      </w:tr>
      <w:tr>
        <w:tc>
          <w:tcPr>
            <w:tcW w:type="dxa" w:w="2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Asset Protection</w:t>
            </w:r>
          </w:p>
        </w:tc>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3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AP main, Nevada AP, investment holding LLC, offshore AP</w:t>
            </w:r>
          </w:p>
        </w:tc>
      </w:tr>
      <w:tr>
        <w:tc>
          <w:tcPr>
            <w:tcW w:type="dxa" w:w="2600"/>
            <w:tcBorders>
              <w:top w:val="single" w:color="BDC3C7" w:sz="1"/>
              <w:left w:val="single" w:color="BDC3C7" w:sz="1"/>
              <w:bottom w:val="single" w:color="BDC3C7" w:sz="1"/>
              <w:right w:val="single" w:color="BDC3C7" w:sz="1"/>
            </w:tcBorders>
            <w:shd w:fill="D6EAF8" w:color="auto" w:val="clear"/>
            <w:tcMar>
              <w:top w:type="dxa" w:w="80"/>
              <w:left w:type="dxa" w:w="120"/>
              <w:bottom w:type="dxa" w:w="80"/>
              <w:right w:type="dxa" w:w="120"/>
            </w:tcMar>
          </w:tcPr>
          <w:p>
            <w:r>
              <w:rPr>
                <w:rFonts w:ascii="Arial" w:cs="Arial" w:eastAsia="Arial" w:hAnsi="Arial"/>
                <w:b/>
                <w:bCs/>
                <w:color w:val="1B4F72"/>
                <w:sz w:val="20"/>
                <w:szCs w:val="20"/>
              </w:rPr>
              <w:t xml:space="preserve">Total</w:t>
            </w:r>
          </w:p>
        </w:tc>
        <w:tc>
          <w:tcPr>
            <w:tcW w:type="dxa" w:w="1200"/>
            <w:tcBorders>
              <w:top w:val="single" w:color="BDC3C7" w:sz="1"/>
              <w:left w:val="single" w:color="BDC3C7" w:sz="1"/>
              <w:bottom w:val="single" w:color="BDC3C7" w:sz="1"/>
              <w:right w:val="single" w:color="BDC3C7" w:sz="1"/>
            </w:tcBorders>
            <w:shd w:fill="D6EAF8" w:color="auto" w:val="clear"/>
            <w:tcMar>
              <w:top w:type="dxa" w:w="80"/>
              <w:left w:type="dxa" w:w="120"/>
              <w:bottom w:type="dxa" w:w="80"/>
              <w:right w:type="dxa" w:w="120"/>
            </w:tcMar>
          </w:tcPr>
          <w:p>
            <w:r>
              <w:rPr>
                <w:rFonts w:ascii="Arial" w:cs="Arial" w:eastAsia="Arial" w:hAnsi="Arial"/>
                <w:b/>
                <w:bCs/>
                <w:color w:val="1B4F72"/>
                <w:sz w:val="20"/>
                <w:szCs w:val="20"/>
              </w:rPr>
              <w:t xml:space="preserve">392</w:t>
            </w:r>
          </w:p>
        </w:tc>
        <w:tc>
          <w:tcPr>
            <w:tcW w:type="dxa" w:w="1200"/>
            <w:tcBorders>
              <w:top w:val="single" w:color="BDC3C7" w:sz="1"/>
              <w:left w:val="single" w:color="BDC3C7" w:sz="1"/>
              <w:bottom w:val="single" w:color="BDC3C7" w:sz="1"/>
              <w:right w:val="single" w:color="BDC3C7" w:sz="1"/>
            </w:tcBorders>
            <w:shd w:fill="D6EAF8" w:color="auto" w:val="clear"/>
            <w:tcMar>
              <w:top w:type="dxa" w:w="80"/>
              <w:left w:type="dxa" w:w="120"/>
              <w:bottom w:type="dxa" w:w="80"/>
              <w:right w:type="dxa" w:w="120"/>
            </w:tcMar>
          </w:tcPr>
          <w:p>
            <w:r>
              <w:rPr>
                <w:rFonts w:ascii="Arial" w:cs="Arial" w:eastAsia="Arial" w:hAnsi="Arial"/>
                <w:b/>
                <w:bCs/>
                <w:color w:val="1B4F72"/>
                <w:sz w:val="20"/>
                <w:szCs w:val="20"/>
              </w:rPr>
              <w:t xml:space="preserve">100%</w:t>
            </w:r>
          </w:p>
        </w:tc>
        <w:tc>
          <w:tcPr>
            <w:tcW w:type="dxa" w:w="4360"/>
            <w:tcBorders>
              <w:top w:val="single" w:color="BDC3C7" w:sz="1"/>
              <w:left w:val="single" w:color="BDC3C7" w:sz="1"/>
              <w:bottom w:val="single" w:color="BDC3C7" w:sz="1"/>
              <w:right w:val="single" w:color="BDC3C7" w:sz="1"/>
            </w:tcBorders>
            <w:shd w:fill="D6EAF8" w:color="auto" w:val="clear"/>
            <w:tcMar>
              <w:top w:type="dxa" w:w="80"/>
              <w:left w:type="dxa" w:w="120"/>
              <w:bottom w:type="dxa" w:w="80"/>
              <w:right w:type="dxa" w:w="120"/>
            </w:tcMar>
          </w:tcPr>
          <w:p>
            <w:r>
              <w:rPr>
                <w:rFonts w:ascii="Arial" w:cs="Arial" w:eastAsia="Arial" w:hAnsi="Arial"/>
                <w:b/>
                <w:bCs/>
                <w:color w:val="1B4F72"/>
                <w:sz w:val="20"/>
                <w:szCs w:val="20"/>
              </w:rPr>
              <w:t xml:space="preserve"/>
            </w:r>
          </w:p>
        </w:tc>
      </w:tr>
    </w:tbl>
    <w:p>
      <w:pPr>
        <w:pStyle w:val="Heading1"/>
        <w:pBdr>
          <w:bottom w:val="single" w:color="2E86C1" w:sz="3" w:space="4"/>
        </w:pBdr>
        <w:spacing w:after="200" w:before="360"/>
      </w:pPr>
      <w:r>
        <w:rPr>
          <w:rFonts w:ascii="Arial" w:cs="Arial" w:eastAsia="Arial" w:hAnsi="Arial"/>
          <w:b/>
          <w:bCs/>
          <w:color w:val="1B4F72"/>
          <w:sz w:val="32"/>
          <w:szCs w:val="32"/>
        </w:rPr>
        <w:t xml:space="preserve">4. Critical Findings</w:t>
      </w:r>
    </w:p>
    <w:p>
      <w:pPr>
        <w:pStyle w:val="Heading2"/>
        <w:spacing w:after="160" w:before="280"/>
      </w:pPr>
      <w:r>
        <w:rPr>
          <w:rFonts w:ascii="Arial" w:cs="Arial" w:eastAsia="Arial" w:hAnsi="Arial"/>
          <w:b/>
          <w:bCs/>
          <w:color w:val="2E86C1"/>
          <w:sz w:val="26"/>
          <w:szCs w:val="26"/>
        </w:rPr>
        <w:t xml:space="preserve">4.1 Zero H1 Tags Across the Entire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6"/>
              <w:bottom w:val="single" w:color="E74C3C" w:sz="1"/>
              <w:right w:val="single" w:color="E74C3C" w:sz="1"/>
            </w:tcBorders>
            <w:shd w:fill="FDEDEC" w:color="auto" w:val="clear"/>
            <w:tcMar>
              <w:top w:type="dxa" w:w="120"/>
              <w:left w:type="dxa" w:w="200"/>
              <w:bottom w:type="dxa" w:w="120"/>
              <w:right w:type="dxa" w:w="200"/>
            </w:tcMar>
          </w:tcPr>
          <w:p>
            <w:pPr>
              <w:spacing w:after="60"/>
            </w:pPr>
            <w:r>
              <w:rPr>
                <w:rFonts w:ascii="Arial" w:cs="Arial" w:eastAsia="Arial" w:hAnsi="Arial"/>
                <w:b/>
                <w:bCs/>
                <w:color w:val="E74C3C"/>
                <w:sz w:val="21"/>
                <w:szCs w:val="21"/>
              </w:rPr>
              <w:t xml:space="preserve">SEO Critical Issue</w:t>
            </w:r>
          </w:p>
          <w:p>
            <w:pPr>
              <w:spacing w:after="0"/>
            </w:pPr>
            <w:r>
              <w:rPr>
                <w:rFonts w:ascii="Arial" w:cs="Arial" w:eastAsia="Arial" w:hAnsi="Arial"/>
                <w:color w:val="444444"/>
                <w:sz w:val="20"/>
                <w:szCs w:val="20"/>
              </w:rPr>
              <w:t xml:space="preserve">Not a single page on the current site has an H1 tag. This is a fundamental on-page SEO failure that limits every page’s ability to rank. The redesign must implement proper H1 tags on all 71+ pages as a baseline requirement.</w:t>
            </w:r>
          </w:p>
        </w:tc>
      </w:tr>
    </w:tbl>
    <w:p>
      <w:pPr>
        <w:spacing w:after="60" w:before="60"/>
      </w:pPr>
    </w:p>
    <w:p>
      <w:pPr>
        <w:spacing w:after="120" w:line="276"/>
      </w:pPr>
      <w:r>
        <w:rPr>
          <w:rFonts w:ascii="Arial" w:cs="Arial" w:eastAsia="Arial" w:hAnsi="Arial"/>
          <w:color w:val="333333"/>
          <w:sz w:val="21"/>
          <w:szCs w:val="21"/>
        </w:rPr>
        <w:t xml:space="preserve">The H1 tag is the most important on-page signal telling search engines what a page is about. With zero H1 tags across 319 live pages, search engines are forced to infer topic relevance from title tags and body content alone. The redesign’s SEO specification phase will define unique, keyword-targeted H1 tags for every page.</w:t>
      </w:r>
    </w:p>
    <w:p>
      <w:pPr>
        <w:pStyle w:val="Heading2"/>
        <w:spacing w:after="160" w:before="280"/>
      </w:pPr>
      <w:r>
        <w:rPr>
          <w:rFonts w:ascii="Arial" w:cs="Arial" w:eastAsia="Arial" w:hAnsi="Arial"/>
          <w:b/>
          <w:bCs/>
          <w:color w:val="2E86C1"/>
          <w:sz w:val="26"/>
          <w:szCs w:val="26"/>
        </w:rPr>
        <w:t xml:space="preserve">4.2 209 Pages Share One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6"/>
              <w:bottom w:val="single" w:color="E74C3C" w:sz="1"/>
              <w:right w:val="single" w:color="E74C3C" w:sz="1"/>
            </w:tcBorders>
            <w:shd w:fill="FDEDEC" w:color="auto" w:val="clear"/>
            <w:tcMar>
              <w:top w:type="dxa" w:w="120"/>
              <w:left w:type="dxa" w:w="200"/>
              <w:bottom w:type="dxa" w:w="120"/>
              <w:right w:type="dxa" w:w="200"/>
            </w:tcMar>
          </w:tcPr>
          <w:p>
            <w:pPr>
              <w:spacing w:after="60"/>
            </w:pPr>
            <w:r>
              <w:rPr>
                <w:rFonts w:ascii="Arial" w:cs="Arial" w:eastAsia="Arial" w:hAnsi="Arial"/>
                <w:b/>
                <w:bCs/>
                <w:color w:val="E74C3C"/>
                <w:sz w:val="21"/>
                <w:szCs w:val="21"/>
              </w:rPr>
              <w:t xml:space="preserve">SEO Critical Issue</w:t>
            </w:r>
          </w:p>
          <w:p>
            <w:pPr>
              <w:spacing w:after="0"/>
            </w:pPr>
            <w:r>
              <w:rPr>
                <w:rFonts w:ascii="Arial" w:cs="Arial" w:eastAsia="Arial" w:hAnsi="Arial"/>
                <w:color w:val="444444"/>
                <w:sz w:val="20"/>
                <w:szCs w:val="20"/>
              </w:rPr>
              <w:t xml:space="preserve">209 out of 305 pages with titles (69%) share the identical generic title: “Business Corporation Consulting, Incorporation Advice, Asset Management, US Bank Accounts Consulting.” This renders the title tag essentially useless for differentiation and ranking across the Learning Center.</w:t>
            </w:r>
          </w:p>
        </w:tc>
      </w:tr>
    </w:tbl>
    <w:p>
      <w:pPr>
        <w:spacing w:after="60" w:before="60"/>
      </w:pPr>
    </w:p>
    <w:p>
      <w:pPr>
        <w:spacing w:after="120" w:line="276"/>
      </w:pPr>
      <w:r>
        <w:rPr>
          <w:rFonts w:ascii="Arial" w:cs="Arial" w:eastAsia="Arial" w:hAnsi="Arial"/>
          <w:color w:val="333333"/>
          <w:sz w:val="21"/>
          <w:szCs w:val="21"/>
        </w:rPr>
        <w:t xml:space="preserve">The remaining 5 duplicate title groups account for another 15 pages. In total, 224 pages (73% of all titled pages) have non-unique titles. Each of the 71+ pages in the new architecture will receive a unique, keyword-optimized title tag under 60 characters, as part of the individual SEO specifications.</w:t>
      </w:r>
    </w:p>
    <w:p>
      <w:pPr>
        <w:pStyle w:val="Heading2"/>
        <w:spacing w:after="160" w:before="280"/>
      </w:pPr>
      <w:r>
        <w:rPr>
          <w:rFonts w:ascii="Arial" w:cs="Arial" w:eastAsia="Arial" w:hAnsi="Arial"/>
          <w:b/>
          <w:bCs/>
          <w:color w:val="2E86C1"/>
          <w:sz w:val="26"/>
          <w:szCs w:val="26"/>
        </w:rPr>
        <w:t xml:space="preserve">4.3 Missing Meta Descriptions on 64 Pages</w:t>
      </w:r>
    </w:p>
    <w:p>
      <w:pPr>
        <w:spacing w:after="120" w:line="276"/>
      </w:pPr>
      <w:r>
        <w:rPr>
          <w:rFonts w:ascii="Arial" w:cs="Arial" w:eastAsia="Arial" w:hAnsi="Arial"/>
          <w:color w:val="333333"/>
          <w:sz w:val="21"/>
          <w:szCs w:val="21"/>
        </w:rPr>
        <w:t xml:space="preserve">Twenty percent of live pages have no meta description at all. Among those that do, 7 exceed the recommended 160-character limit and risk truncation in search results. The SEO specification phase will provide custom meta descriptions for every page in the new architecture.</w:t>
      </w:r>
    </w:p>
    <w:p>
      <w:pPr>
        <w:pStyle w:val="Heading2"/>
        <w:spacing w:after="160" w:before="280"/>
      </w:pPr>
      <w:r>
        <w:rPr>
          <w:rFonts w:ascii="Arial" w:cs="Arial" w:eastAsia="Arial" w:hAnsi="Arial"/>
          <w:b/>
          <w:bCs/>
          <w:color w:val="2E86C1"/>
          <w:sz w:val="26"/>
          <w:szCs w:val="26"/>
        </w:rPr>
        <w:t xml:space="preserve">4.4 Learning Center Is 3x Larger Than Estimated</w:t>
      </w:r>
    </w:p>
    <w:p>
      <w:pPr>
        <w:spacing w:after="120" w:line="276"/>
      </w:pPr>
      <w:r>
        <w:rPr>
          <w:rFonts w:ascii="Arial" w:cs="Arial" w:eastAsia="Arial" w:hAnsi="Arial"/>
          <w:color w:val="333333"/>
          <w:sz w:val="21"/>
          <w:szCs w:val="21"/>
        </w:rPr>
        <w:t xml:space="preserve">The Learning Center contains 244 URLs — significantly more than the ~111 FAQ items originally estimated. The actual breakdown reveals a more complex structure:</w:t>
      </w:r>
    </w:p>
    <w:p>
      <w:pPr>
        <w:spacing w:after="40" w:before="40"/>
      </w:pPr>
    </w:p>
    <w:p>
      <w:pPr>
        <w:pStyle w:val="ListParagraph"/>
        <w:numPr>
          <w:ilvl w:val="0"/>
          <w:numId w:val="2"/>
        </w:numPr>
        <w:spacing w:after="60" w:line="276"/>
      </w:pPr>
      <w:r>
        <w:rPr>
          <w:rFonts w:ascii="Arial" w:cs="Arial" w:eastAsia="Arial" w:hAnsi="Arial"/>
          <w:b/>
          <w:bCs/>
          <w:color w:val="333333"/>
          <w:sz w:val="21"/>
          <w:szCs w:val="21"/>
        </w:rPr>
        <w:t xml:space="preserve">188 individual FAQ item pages</w:t>
      </w:r>
      <w:r>
        <w:rPr>
          <w:rFonts w:ascii="Arial" w:cs="Arial" w:eastAsia="Arial" w:hAnsi="Arial"/>
          <w:color w:val="333333"/>
          <w:sz w:val="21"/>
          <w:szCs w:val="21"/>
        </w:rPr>
        <w:t xml:space="preserve"> (vs. ~111 estimated) across 24 category pages</w:t>
      </w:r>
    </w:p>
    <w:p>
      <w:pPr>
        <w:pStyle w:val="ListParagraph"/>
        <w:numPr>
          <w:ilvl w:val="0"/>
          <w:numId w:val="2"/>
        </w:numPr>
        <w:spacing w:after="60" w:line="276"/>
      </w:pPr>
      <w:r>
        <w:rPr>
          <w:rFonts w:ascii="Arial" w:cs="Arial" w:eastAsia="Arial" w:hAnsi="Arial"/>
          <w:b/>
          <w:bCs/>
          <w:color w:val="333333"/>
          <w:sz w:val="21"/>
          <w:szCs w:val="21"/>
        </w:rPr>
        <w:t xml:space="preserve">18 legal reference pages</w:t>
      </w:r>
      <w:r>
        <w:rPr>
          <w:rFonts w:ascii="Arial" w:cs="Arial" w:eastAsia="Arial" w:hAnsi="Arial"/>
          <w:color w:val="333333"/>
          <w:sz w:val="21"/>
          <w:szCs w:val="21"/>
        </w:rPr>
        <w:t xml:space="preserve"> (NRS statutes, court cases, IRS rulings) that exist outside the category/item structure</w:t>
      </w:r>
    </w:p>
    <w:p>
      <w:pPr>
        <w:pStyle w:val="ListParagraph"/>
        <w:numPr>
          <w:ilvl w:val="0"/>
          <w:numId w:val="2"/>
        </w:numPr>
        <w:spacing w:after="60" w:line="276"/>
      </w:pPr>
      <w:r>
        <w:rPr>
          <w:rFonts w:ascii="Arial" w:cs="Arial" w:eastAsia="Arial" w:hAnsi="Arial"/>
          <w:b/>
          <w:bCs/>
          <w:color w:val="333333"/>
          <w:sz w:val="21"/>
          <w:szCs w:val="21"/>
        </w:rPr>
        <w:t xml:space="preserve">10 SB60 legacy pages</w:t>
      </w:r>
      <w:r>
        <w:rPr>
          <w:rFonts w:ascii="Arial" w:cs="Arial" w:eastAsia="Arial" w:hAnsi="Arial"/>
          <w:color w:val="333333"/>
          <w:sz w:val="21"/>
          <w:szCs w:val="21"/>
        </w:rPr>
        <w:t xml:space="preserve"> from 2013 legislation changes that are no longer current</w:t>
      </w:r>
    </w:p>
    <w:p>
      <w:pPr>
        <w:pStyle w:val="ListParagraph"/>
        <w:numPr>
          <w:ilvl w:val="0"/>
          <w:numId w:val="2"/>
        </w:numPr>
        <w:spacing w:after="60" w:line="276"/>
      </w:pPr>
      <w:r>
        <w:rPr>
          <w:rFonts w:ascii="Arial" w:cs="Arial" w:eastAsia="Arial" w:hAnsi="Arial"/>
          <w:b/>
          <w:bCs/>
          <w:color w:val="333333"/>
          <w:sz w:val="21"/>
          <w:szCs w:val="21"/>
        </w:rPr>
        <w:t xml:space="preserve">2 main Learning Center pages</w:t>
      </w:r>
      <w:r>
        <w:rPr>
          <w:rFonts w:ascii="Arial" w:cs="Arial" w:eastAsia="Arial" w:hAnsi="Arial"/>
          <w:color w:val="333333"/>
          <w:sz w:val="21"/>
          <w:szCs w:val="21"/>
        </w:rPr>
        <w:t xml:space="preserve"> (with and without trailing slash)</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color="auto" w:val="clear"/>
            <w:tcMar>
              <w:top w:type="dxa" w:w="120"/>
              <w:left w:type="dxa" w:w="200"/>
              <w:bottom w:type="dxa" w:w="120"/>
              <w:right w:type="dxa" w:w="200"/>
            </w:tcMar>
          </w:tcPr>
          <w:p>
            <w:pPr>
              <w:spacing w:after="60"/>
            </w:pPr>
            <w:r>
              <w:rPr>
                <w:rFonts w:ascii="Arial" w:cs="Arial" w:eastAsia="Arial" w:hAnsi="Arial"/>
                <w:b/>
                <w:bCs/>
                <w:color w:val="1B4F72"/>
                <w:sz w:val="21"/>
                <w:szCs w:val="21"/>
              </w:rPr>
              <w:t xml:space="preserve">Impact on Migration Plan</w:t>
            </w:r>
          </w:p>
          <w:p>
            <w:pPr>
              <w:spacing w:after="0"/>
            </w:pPr>
            <w:r>
              <w:rPr>
                <w:rFonts w:ascii="Arial" w:cs="Arial" w:eastAsia="Arial" w:hAnsi="Arial"/>
                <w:color w:val="444444"/>
                <w:sz w:val="20"/>
                <w:szCs w:val="20"/>
              </w:rPr>
              <w:t xml:space="preserve">The consolidation strategy still works — but there’s more content to process. Each of the 188 FAQ items needs to be reviewed, assigned to a destination page in the new architecture, and either migrated inline as contextual FAQ content or consolidated into the master FAQ page. The 18 legal references will be evaluated for integration into relevant cluster pages. The 10 SB60 pages will be retired with redirects.</w:t>
            </w:r>
          </w:p>
        </w:tc>
      </w:tr>
    </w:tbl>
    <w:p>
      <w:pPr>
        <w:pStyle w:val="Heading2"/>
        <w:spacing w:after="160" w:before="280"/>
      </w:pPr>
      <w:r>
        <w:rPr>
          <w:rFonts w:ascii="Arial" w:cs="Arial" w:eastAsia="Arial" w:hAnsi="Arial"/>
          <w:b/>
          <w:bCs/>
          <w:color w:val="2E86C1"/>
          <w:sz w:val="26"/>
          <w:szCs w:val="26"/>
        </w:rPr>
        <w:t xml:space="preserve">4.5 49 Duplicate Content Groups</w:t>
      </w:r>
    </w:p>
    <w:p>
      <w:pPr>
        <w:spacing w:after="120" w:line="276"/>
      </w:pPr>
      <w:r>
        <w:rPr>
          <w:rFonts w:ascii="Arial" w:cs="Arial" w:eastAsia="Arial" w:hAnsi="Arial"/>
          <w:color w:val="333333"/>
          <w:sz w:val="21"/>
          <w:szCs w:val="21"/>
        </w:rPr>
        <w:t xml:space="preserve">The crawl identified 49 groups of URLs serving identical page content (matched by content hash). The majority fall into two categories:</w:t>
      </w:r>
    </w:p>
    <w:p>
      <w:pPr>
        <w:spacing w:after="40" w:before="40"/>
      </w:pPr>
    </w:p>
    <w:p>
      <w:pPr>
        <w:pStyle w:val="ListParagraph"/>
        <w:numPr>
          <w:ilvl w:val="0"/>
          <w:numId w:val="2"/>
        </w:numPr>
        <w:spacing w:after="60" w:line="276"/>
      </w:pPr>
      <w:r>
        <w:rPr>
          <w:rFonts w:ascii="Arial" w:cs="Arial" w:eastAsia="Arial" w:hAnsi="Arial"/>
          <w:b/>
          <w:bCs/>
          <w:color w:val="333333"/>
          <w:sz w:val="21"/>
          <w:szCs w:val="21"/>
        </w:rPr>
        <w:t xml:space="preserve">Trailing-slash duplicates: </w:t>
      </w:r>
      <w:r>
        <w:rPr>
          <w:rFonts w:ascii="Arial" w:cs="Arial" w:eastAsia="Arial" w:hAnsi="Arial"/>
          <w:color w:val="333333"/>
          <w:sz w:val="21"/>
          <w:szCs w:val="21"/>
        </w:rPr>
        <w:t xml:space="preserve">Same page served at /path and /path/ (e.g., /services/privacy-services and /services/privacy-services/). These need canonical tags or server-level normalization.</w:t>
      </w:r>
    </w:p>
    <w:p>
      <w:pPr>
        <w:pStyle w:val="ListParagraph"/>
        <w:numPr>
          <w:ilvl w:val="0"/>
          <w:numId w:val="2"/>
        </w:numPr>
        <w:spacing w:after="60" w:line="276"/>
      </w:pPr>
      <w:r>
        <w:rPr>
          <w:rFonts w:ascii="Arial" w:cs="Arial" w:eastAsia="Arial" w:hAnsi="Arial"/>
          <w:b/>
          <w:bCs/>
          <w:color w:val="333333"/>
          <w:sz w:val="21"/>
          <w:szCs w:val="21"/>
        </w:rPr>
        <w:t xml:space="preserve">Learning Center overlaps: </w:t>
      </w:r>
      <w:r>
        <w:rPr>
          <w:rFonts w:ascii="Arial" w:cs="Arial" w:eastAsia="Arial" w:hAnsi="Arial"/>
          <w:color w:val="333333"/>
          <w:sz w:val="21"/>
          <w:szCs w:val="21"/>
        </w:rPr>
        <w:t xml:space="preserve">Category pages and their first item return identical content (e.g., /cat/51 and /cat/51/item/59 serve the same page). This confuses search engines about which URL to rank.</w:t>
      </w:r>
    </w:p>
    <w:p>
      <w:pPr>
        <w:spacing w:after="60" w:before="60"/>
      </w:pPr>
    </w:p>
    <w:p>
      <w:pPr>
        <w:spacing w:after="120" w:line="276"/>
      </w:pPr>
      <w:r>
        <w:rPr>
          <w:rFonts w:ascii="Arial" w:cs="Arial" w:eastAsia="Arial" w:hAnsi="Arial"/>
          <w:color w:val="333333"/>
          <w:sz w:val="21"/>
          <w:szCs w:val="21"/>
        </w:rPr>
        <w:t xml:space="preserve">None of these duplicates will survive into the new architecture. The redirect plan maps each duplicate to a single canonical destination, and the new CMS will enforce consistent URL patterns.</w:t>
      </w:r>
    </w:p>
    <w:p>
      <w:pPr>
        <w:pStyle w:val="Heading2"/>
        <w:spacing w:after="160" w:before="280"/>
      </w:pPr>
      <w:r>
        <w:rPr>
          <w:rFonts w:ascii="Arial" w:cs="Arial" w:eastAsia="Arial" w:hAnsi="Arial"/>
          <w:b/>
          <w:bCs/>
          <w:color w:val="2E86C1"/>
          <w:sz w:val="26"/>
          <w:szCs w:val="26"/>
        </w:rPr>
        <w:t xml:space="preserve">4.6 Thin Content on 29 Pages</w:t>
      </w:r>
    </w:p>
    <w:p>
      <w:pPr>
        <w:spacing w:after="120" w:line="276"/>
      </w:pPr>
      <w:r>
        <w:rPr>
          <w:rFonts w:ascii="Arial" w:cs="Arial" w:eastAsia="Arial" w:hAnsi="Arial"/>
          <w:color w:val="333333"/>
          <w:sz w:val="21"/>
          <w:szCs w:val="21"/>
        </w:rPr>
        <w:t xml:space="preserve">Twenty-nine pages contain fewer than 300 words, and 8 contain fewer than 100 words. Many of these are service add-on popup pages (nominee popup, offshore protector popup, trust settlement) that were designed as overlays rather than standalone pages. These will either be consolidated into parent pages or reimplemented as UI components within the new package pages.</w:t>
      </w:r>
    </w:p>
    <w:p>
      <w:pPr>
        <w:pStyle w:val="Heading2"/>
        <w:spacing w:after="160" w:before="280"/>
      </w:pPr>
      <w:r>
        <w:rPr>
          <w:rFonts w:ascii="Arial" w:cs="Arial" w:eastAsia="Arial" w:hAnsi="Arial"/>
          <w:b/>
          <w:bCs/>
          <w:color w:val="2E86C1"/>
          <w:sz w:val="26"/>
          <w:szCs w:val="26"/>
        </w:rPr>
        <w:t xml:space="preserve">4.7 Six Internal Broken Links</w:t>
      </w:r>
    </w:p>
    <w:p>
      <w:pPr>
        <w:spacing w:after="120" w:line="276"/>
      </w:pPr>
      <w:r>
        <w:rPr>
          <w:rFonts w:ascii="Arial" w:cs="Arial" w:eastAsia="Arial" w:hAnsi="Arial"/>
          <w:color w:val="333333"/>
          <w:sz w:val="21"/>
          <w:szCs w:val="21"/>
        </w:rPr>
        <w:t xml:space="preserve">Six internal URLs return 404 errors, meaning other pages on the site link to destinations that no longer exist:</w:t>
      </w:r>
    </w:p>
    <w:p>
      <w:pPr>
        <w:spacing w:after="40" w:before="40"/>
      </w:pPr>
    </w:p>
    <w:p>
      <w:pPr>
        <w:pStyle w:val="ListParagraph"/>
        <w:numPr>
          <w:ilvl w:val="0"/>
          <w:numId w:val="2"/>
        </w:numPr>
        <w:spacing w:after="60" w:line="276"/>
      </w:pPr>
      <w:r>
        <w:rPr>
          <w:rFonts w:ascii="Arial" w:cs="Arial" w:eastAsia="Arial" w:hAnsi="Arial"/>
          <w:color w:val="333333"/>
          <w:sz w:val="21"/>
          <w:szCs w:val="21"/>
        </w:rPr>
        <w:t xml:space="preserve">/services/executive_suite</w:t>
      </w:r>
    </w:p>
    <w:p>
      <w:pPr>
        <w:pStyle w:val="ListParagraph"/>
        <w:numPr>
          <w:ilvl w:val="0"/>
          <w:numId w:val="2"/>
        </w:numPr>
        <w:spacing w:after="60" w:line="276"/>
      </w:pPr>
      <w:r>
        <w:rPr>
          <w:rFonts w:ascii="Arial" w:cs="Arial" w:eastAsia="Arial" w:hAnsi="Arial"/>
          <w:color w:val="333333"/>
          <w:sz w:val="21"/>
          <w:szCs w:val="21"/>
        </w:rPr>
        <w:t xml:space="preserve">/services/records-and-resident-agent-package</w:t>
      </w:r>
    </w:p>
    <w:p>
      <w:pPr>
        <w:pStyle w:val="ListParagraph"/>
        <w:numPr>
          <w:ilvl w:val="0"/>
          <w:numId w:val="2"/>
        </w:numPr>
        <w:spacing w:after="60" w:line="276"/>
      </w:pPr>
      <w:r>
        <w:rPr>
          <w:rFonts w:ascii="Arial" w:cs="Arial" w:eastAsia="Arial" w:hAnsi="Arial"/>
          <w:color w:val="333333"/>
          <w:sz w:val="21"/>
          <w:szCs w:val="21"/>
        </w:rPr>
        <w:t xml:space="preserve">/services/asset-protection</w:t>
      </w:r>
    </w:p>
    <w:p>
      <w:pPr>
        <w:pStyle w:val="ListParagraph"/>
        <w:numPr>
          <w:ilvl w:val="0"/>
          <w:numId w:val="2"/>
        </w:numPr>
        <w:spacing w:after="60" w:line="276"/>
      </w:pPr>
      <w:r>
        <w:rPr>
          <w:rFonts w:ascii="Arial" w:cs="Arial" w:eastAsia="Arial" w:hAnsi="Arial"/>
          <w:color w:val="333333"/>
          <w:sz w:val="21"/>
          <w:szCs w:val="21"/>
        </w:rPr>
        <w:t xml:space="preserve">/services/incorporation-package</w:t>
      </w:r>
    </w:p>
    <w:p>
      <w:pPr>
        <w:pStyle w:val="ListParagraph"/>
        <w:numPr>
          <w:ilvl w:val="0"/>
          <w:numId w:val="2"/>
        </w:numPr>
        <w:spacing w:after="60" w:line="276"/>
      </w:pPr>
      <w:r>
        <w:rPr>
          <w:rFonts w:ascii="Arial" w:cs="Arial" w:eastAsia="Arial" w:hAnsi="Arial"/>
          <w:color w:val="333333"/>
          <w:sz w:val="21"/>
          <w:szCs w:val="21"/>
        </w:rPr>
        <w:t xml:space="preserve">/services/investment-holding-llc</w:t>
      </w:r>
    </w:p>
    <w:p>
      <w:pPr>
        <w:pStyle w:val="ListParagraph"/>
        <w:numPr>
          <w:ilvl w:val="0"/>
          <w:numId w:val="2"/>
        </w:numPr>
        <w:spacing w:after="60" w:line="276"/>
      </w:pPr>
      <w:r>
        <w:rPr>
          <w:rFonts w:ascii="Arial" w:cs="Arial" w:eastAsia="Arial" w:hAnsi="Arial"/>
          <w:color w:val="333333"/>
          <w:sz w:val="21"/>
          <w:szCs w:val="21"/>
        </w:rPr>
        <w:t xml:space="preserve">/services/offshore-services</w:t>
      </w:r>
    </w:p>
    <w:p>
      <w:pPr>
        <w:spacing w:after="60" w:before="60"/>
      </w:pPr>
    </w:p>
    <w:p>
      <w:pPr>
        <w:spacing w:after="120" w:line="276"/>
      </w:pPr>
      <w:r>
        <w:rPr>
          <w:rFonts w:ascii="Arial" w:cs="Arial" w:eastAsia="Arial" w:hAnsi="Arial"/>
          <w:color w:val="333333"/>
          <w:sz w:val="21"/>
          <w:szCs w:val="21"/>
        </w:rPr>
        <w:t xml:space="preserve">These broken links will be resolved during the redirect mapping phase. Each will be mapped to the most relevant page in the new architecture.</w:t>
      </w:r>
    </w:p>
    <w:p>
      <w:pPr>
        <w:pStyle w:val="Heading1"/>
        <w:pBdr>
          <w:bottom w:val="single" w:color="2E86C1" w:sz="3" w:space="4"/>
        </w:pBdr>
        <w:spacing w:after="200" w:before="360"/>
      </w:pPr>
      <w:r>
        <w:rPr>
          <w:rFonts w:ascii="Arial" w:cs="Arial" w:eastAsia="Arial" w:hAnsi="Arial"/>
          <w:b/>
          <w:bCs/>
          <w:color w:val="1B4F72"/>
          <w:sz w:val="32"/>
          <w:szCs w:val="32"/>
        </w:rPr>
        <w:t xml:space="preserve">5. What the Data Confirms</w:t>
      </w:r>
    </w:p>
    <w:p>
      <w:pPr>
        <w:spacing w:after="120" w:line="276"/>
      </w:pPr>
      <w:r>
        <w:rPr>
          <w:rFonts w:ascii="Arial" w:cs="Arial" w:eastAsia="Arial" w:hAnsi="Arial"/>
          <w:color w:val="333333"/>
          <w:sz w:val="21"/>
          <w:szCs w:val="21"/>
        </w:rPr>
        <w:t xml:space="preserve">The crawl data validates several key assumptions from the strategic framework, while revealing a few areas that need updated numbers.</w:t>
      </w:r>
    </w:p>
    <w:p>
      <w:pPr>
        <w:spacing w:after="60" w:before="60"/>
      </w:pPr>
    </w:p>
    <w:p>
      <w:pPr>
        <w:pStyle w:val="Heading2"/>
        <w:spacing w:after="160" w:before="280"/>
      </w:pPr>
      <w:r>
        <w:rPr>
          <w:rFonts w:ascii="Arial" w:cs="Arial" w:eastAsia="Arial" w:hAnsi="Arial"/>
          <w:b/>
          <w:bCs/>
          <w:color w:val="2E86C1"/>
          <w:sz w:val="26"/>
          <w:szCs w:val="26"/>
        </w:rPr>
        <w:t xml:space="preserve">5.1 Strategy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F8F5" w:color="auto" w:val="clear"/>
            <w:tcMar>
              <w:top w:type="dxa" w:w="120"/>
              <w:left w:type="dxa" w:w="200"/>
              <w:bottom w:type="dxa" w:w="120"/>
              <w:right w:type="dxa" w:w="200"/>
            </w:tcMar>
          </w:tcPr>
          <w:p>
            <w:pPr>
              <w:spacing w:after="60"/>
            </w:pPr>
            <w:r>
              <w:rPr>
                <w:rFonts w:ascii="Arial" w:cs="Arial" w:eastAsia="Arial" w:hAnsi="Arial"/>
                <w:b/>
                <w:bCs/>
                <w:color w:val="27AE60"/>
                <w:sz w:val="21"/>
                <w:szCs w:val="21"/>
              </w:rPr>
              <w:t xml:space="preserve">Architecture Decision Confirmed</w:t>
            </w:r>
          </w:p>
          <w:p>
            <w:pPr>
              <w:spacing w:after="0"/>
            </w:pPr>
            <w:r>
              <w:rPr>
                <w:rFonts w:ascii="Arial" w:cs="Arial" w:eastAsia="Arial" w:hAnsi="Arial"/>
                <w:color w:val="444444"/>
                <w:sz w:val="20"/>
                <w:szCs w:val="20"/>
              </w:rPr>
              <w:t xml:space="preserve">The data strongly supports the consolidation from 325 unique paths to ~71 focused pages. The vast majority of URL volume comes from fragmented Learning Center content (244 URLs) and parameterized checkout pages (43 URLs) that will naturally collapse into the new structure.</w:t>
            </w:r>
          </w:p>
        </w:tc>
      </w:tr>
    </w:tbl>
    <w:p>
      <w:pPr>
        <w:spacing w:after="60" w:before="60"/>
      </w:pPr>
    </w:p>
    <w:p>
      <w:pPr>
        <w:pStyle w:val="ListParagraph"/>
        <w:numPr>
          <w:ilvl w:val="0"/>
          <w:numId w:val="2"/>
        </w:numPr>
        <w:spacing w:after="60" w:line="276"/>
      </w:pPr>
      <w:r>
        <w:rPr>
          <w:rFonts w:ascii="Arial" w:cs="Arial" w:eastAsia="Arial" w:hAnsi="Arial"/>
          <w:b/>
          <w:bCs/>
          <w:color w:val="333333"/>
          <w:sz w:val="21"/>
          <w:szCs w:val="21"/>
        </w:rPr>
        <w:t xml:space="preserve">Pillar/cluster model is correct. </w:t>
      </w:r>
      <w:r>
        <w:rPr>
          <w:rFonts w:ascii="Arial" w:cs="Arial" w:eastAsia="Arial" w:hAnsi="Arial"/>
          <w:color w:val="333333"/>
          <w:sz w:val="21"/>
          <w:szCs w:val="21"/>
        </w:rPr>
        <w:t xml:space="preserve">Content naturally clusters around privacy, asset protection, formation, and compliance themes. The Learning Center categories map cleanly to pillar topics.</w:t>
      </w:r>
    </w:p>
    <w:p>
      <w:pPr>
        <w:pStyle w:val="ListParagraph"/>
        <w:numPr>
          <w:ilvl w:val="0"/>
          <w:numId w:val="2"/>
        </w:numPr>
        <w:spacing w:after="60" w:line="276"/>
      </w:pPr>
      <w:r>
        <w:rPr>
          <w:rFonts w:ascii="Arial" w:cs="Arial" w:eastAsia="Arial" w:hAnsi="Arial"/>
          <w:b/>
          <w:bCs/>
          <w:color w:val="333333"/>
          <w:sz w:val="21"/>
          <w:szCs w:val="21"/>
        </w:rPr>
        <w:t xml:space="preserve">Intent-first navigation is overdue. </w:t>
      </w:r>
      <w:r>
        <w:rPr>
          <w:rFonts w:ascii="Arial" w:cs="Arial" w:eastAsia="Arial" w:hAnsi="Arial"/>
          <w:color w:val="333333"/>
          <w:sz w:val="21"/>
          <w:szCs w:val="21"/>
        </w:rPr>
        <w:t xml:space="preserve">The current geography-first structure forces 62% of site content (the Learning Center) into a flat, undifferentiated FAQ bucket with generic titles.</w:t>
      </w:r>
    </w:p>
    <w:p>
      <w:pPr>
        <w:pStyle w:val="ListParagraph"/>
        <w:numPr>
          <w:ilvl w:val="0"/>
          <w:numId w:val="2"/>
        </w:numPr>
        <w:spacing w:after="60" w:line="276"/>
      </w:pPr>
      <w:r>
        <w:rPr>
          <w:rFonts w:ascii="Arial" w:cs="Arial" w:eastAsia="Arial" w:hAnsi="Arial"/>
          <w:b/>
          <w:bCs/>
          <w:color w:val="333333"/>
          <w:sz w:val="21"/>
          <w:szCs w:val="21"/>
        </w:rPr>
        <w:t xml:space="preserve">No content loss in consolidation. </w:t>
      </w:r>
      <w:r>
        <w:rPr>
          <w:rFonts w:ascii="Arial" w:cs="Arial" w:eastAsia="Arial" w:hAnsi="Arial"/>
          <w:color w:val="333333"/>
          <w:sz w:val="21"/>
          <w:szCs w:val="21"/>
        </w:rPr>
        <w:t xml:space="preserve">Every FAQ item, legal reference, and service detail has a mapped destination in the new architecture.</w:t>
      </w:r>
    </w:p>
    <w:p>
      <w:pPr>
        <w:pStyle w:val="ListParagraph"/>
        <w:numPr>
          <w:ilvl w:val="0"/>
          <w:numId w:val="2"/>
        </w:numPr>
        <w:spacing w:after="60" w:line="276"/>
      </w:pPr>
      <w:r>
        <w:rPr>
          <w:rFonts w:ascii="Arial" w:cs="Arial" w:eastAsia="Arial" w:hAnsi="Arial"/>
          <w:b/>
          <w:bCs/>
          <w:color w:val="333333"/>
          <w:sz w:val="21"/>
          <w:szCs w:val="21"/>
        </w:rPr>
        <w:t xml:space="preserve">SEO opportunity is massive. </w:t>
      </w:r>
      <w:r>
        <w:rPr>
          <w:rFonts w:ascii="Arial" w:cs="Arial" w:eastAsia="Arial" w:hAnsi="Arial"/>
          <w:color w:val="333333"/>
          <w:sz w:val="21"/>
          <w:szCs w:val="21"/>
        </w:rPr>
        <w:t xml:space="preserve">With zero H1 tags and 73% of pages sharing duplicate titles, even basic on-page optimization will produce significant ranking improvements.</w:t>
      </w:r>
    </w:p>
    <w:p>
      <w:pPr>
        <w:pStyle w:val="Heading2"/>
        <w:spacing w:after="160" w:before="280"/>
      </w:pPr>
      <w:r>
        <w:rPr>
          <w:rFonts w:ascii="Arial" w:cs="Arial" w:eastAsia="Arial" w:hAnsi="Arial"/>
          <w:b/>
          <w:bCs/>
          <w:color w:val="2E86C1"/>
          <w:sz w:val="26"/>
          <w:szCs w:val="26"/>
        </w:rPr>
        <w:t xml:space="preserve">5.2 Estimates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0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w:t>
            </w:r>
          </w:p>
        </w:tc>
        <w:tc>
          <w:tcPr>
            <w:tcW w:type="dxa" w:w="20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Updated</w:t>
            </w:r>
          </w:p>
        </w:tc>
        <w:tc>
          <w:tcPr>
            <w:tcW w:type="dxa" w:w="186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Total URLs to redirect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~170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~325</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Moderate</w:t>
            </w:r>
          </w:p>
        </w:tc>
      </w:tr>
      <w:tr>
        <w:tc>
          <w:tcPr>
            <w:tcW w:type="dxa" w:w="3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FAQ items to consolidate</w:t>
            </w:r>
          </w:p>
        </w:tc>
        <w:tc>
          <w:tcPr>
            <w:tcW w:type="dxa" w:w="2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~111</w:t>
            </w:r>
          </w:p>
        </w:tc>
        <w:tc>
          <w:tcPr>
            <w:tcW w:type="dxa" w:w="2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188 + 18 refs</w:t>
            </w:r>
          </w:p>
        </w:tc>
        <w:tc>
          <w:tcPr>
            <w:tcW w:type="dxa" w:w="18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Moderate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Template types to document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23</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Target page count</w:t>
            </w:r>
          </w:p>
        </w:tc>
        <w:tc>
          <w:tcPr>
            <w:tcW w:type="dxa" w:w="2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~71</w:t>
            </w:r>
          </w:p>
        </w:tc>
        <w:tc>
          <w:tcPr>
            <w:tcW w:type="dxa" w:w="2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55–71+</w:t>
            </w:r>
          </w:p>
        </w:tc>
        <w:tc>
          <w:tcPr>
            <w:tcW w:type="dxa" w:w="18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None</w:t>
            </w:r>
          </w:p>
        </w:tc>
      </w:tr>
    </w:tbl>
    <w:p>
      <w:pPr>
        <w:spacing w:after="60" w:before="60"/>
      </w:pPr>
    </w:p>
    <w:p>
      <w:pPr>
        <w:spacing w:after="120" w:line="276"/>
      </w:pPr>
      <w:r>
        <w:rPr>
          <w:rFonts w:ascii="Arial" w:cs="Arial" w:eastAsia="Arial" w:hAnsi="Arial"/>
          <w:color w:val="333333"/>
          <w:sz w:val="21"/>
          <w:szCs w:val="21"/>
        </w:rPr>
        <w:t xml:space="preserve">The increased redirect count is largely mechanical — the additional URLs are Learning Center items and trailing-slash variants that map predictably to new destinations. The larger FAQ consolidation scope adds some review effort but does not change the page architecture.</w:t>
      </w:r>
    </w:p>
    <w:p>
      <w:pPr>
        <w:pStyle w:val="Heading1"/>
        <w:pBdr>
          <w:bottom w:val="single" w:color="2E86C1" w:sz="3" w:space="4"/>
        </w:pBdr>
        <w:spacing w:after="200" w:before="360"/>
      </w:pPr>
      <w:r>
        <w:rPr>
          <w:rFonts w:ascii="Arial" w:cs="Arial" w:eastAsia="Arial" w:hAnsi="Arial"/>
          <w:b/>
          <w:bCs/>
          <w:color w:val="1B4F72"/>
          <w:sz w:val="32"/>
          <w:szCs w:val="32"/>
        </w:rPr>
        <w:t xml:space="preserve">6. Performance Snapshot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16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Average Response Time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0.823s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Acceptable, but 54 pages exceed 1 second</w:t>
            </w:r>
          </w:p>
        </w:tc>
      </w:tr>
      <w:tr>
        <w:tc>
          <w:tcPr>
            <w:tcW w:type="dxa" w:w="3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Slowest Page</w:t>
            </w:r>
          </w:p>
        </w:tc>
        <w:tc>
          <w:tcPr>
            <w:tcW w:type="dxa" w:w="2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3.588s</w:t>
            </w:r>
          </w:p>
        </w:tc>
        <w:tc>
          <w:tcPr>
            <w:tcW w:type="dxa" w:w="41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Needs investigation — likely database query on Learning Center</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Average Page Size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23.8 KB</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Lightweight; modern redesign may increase but will be optimized</w:t>
            </w:r>
          </w:p>
        </w:tc>
      </w:tr>
      <w:tr>
        <w:tc>
          <w:tcPr>
            <w:tcW w:type="dxa" w:w="3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Avg Word Count</w:t>
            </w:r>
          </w:p>
        </w:tc>
        <w:tc>
          <w:tcPr>
            <w:tcW w:type="dxa" w:w="2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736 words</w:t>
            </w:r>
          </w:p>
        </w:tc>
        <w:tc>
          <w:tcPr>
            <w:tcW w:type="dxa" w:w="41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Healthy content depth; pillar pages will target 1,500–2,000+</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Readability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70% Normal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Good baseline; 25% rated Fairly Hard or Hard</w:t>
            </w:r>
          </w:p>
        </w:tc>
      </w:tr>
      <w:tr>
        <w:tc>
          <w:tcPr>
            <w:tcW w:type="dxa" w:w="3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Crawl Depth</w:t>
            </w:r>
          </w:p>
        </w:tc>
        <w:tc>
          <w:tcPr>
            <w:tcW w:type="dxa" w:w="2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66% at Depth 2</w:t>
            </w:r>
          </w:p>
        </w:tc>
        <w:tc>
          <w:tcPr>
            <w:tcW w:type="dxa" w:w="41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Most content 2 clicks from homepage — solid but flat hierarchy</w:t>
            </w:r>
          </w:p>
        </w:tc>
      </w:tr>
    </w:tbl>
    <w:p>
      <w:pPr>
        <w:pStyle w:val="Heading1"/>
        <w:pBdr>
          <w:bottom w:val="single" w:color="2E86C1" w:sz="3" w:space="4"/>
        </w:pBdr>
        <w:spacing w:after="200" w:before="360"/>
      </w:pPr>
      <w:r>
        <w:rPr>
          <w:rFonts w:ascii="Arial" w:cs="Arial" w:eastAsia="Arial" w:hAnsi="Arial"/>
          <w:b/>
          <w:bCs/>
          <w:color w:val="1B4F72"/>
          <w:sz w:val="32"/>
          <w:szCs w:val="32"/>
        </w:rPr>
        <w:t xml:space="preserve">7. High-Value Pages for Redirect Priority</w:t>
      </w:r>
    </w:p>
    <w:p>
      <w:pPr>
        <w:spacing w:after="120" w:line="276"/>
      </w:pPr>
      <w:r>
        <w:rPr>
          <w:rFonts w:ascii="Arial" w:cs="Arial" w:eastAsia="Arial" w:hAnsi="Arial"/>
          <w:color w:val="333333"/>
          <w:sz w:val="21"/>
          <w:szCs w:val="21"/>
        </w:rPr>
        <w:t xml:space="preserve">The following pages carry the most internal link equity. These are the highest-priority URLs for accurate redirect mapping to preserve authority during the migration.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Inlinks</w:t>
            </w:r>
          </w:p>
        </w:tc>
        <w:tc>
          <w:tcPr>
            <w:tcW w:type="dxa" w:w="416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URL</w:t>
            </w:r>
          </w:p>
        </w:tc>
        <w:tc>
          <w:tcPr>
            <w:tcW w:type="dxa" w:w="40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Destination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1,450</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/learning-center</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/faq/ (consolidated)</w:t>
            </w:r>
          </w:p>
        </w:tc>
      </w:tr>
      <w:tr>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999</w:t>
            </w:r>
          </w:p>
        </w:tc>
        <w:tc>
          <w:tcPr>
            <w:tcW w:type="dxa" w:w="41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4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 (homepage)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740</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/services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or pillar pages (intent-based)</w:t>
            </w:r>
          </w:p>
        </w:tc>
      </w:tr>
      <w:tr>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698</w:t>
            </w:r>
          </w:p>
        </w:tc>
        <w:tc>
          <w:tcPr>
            <w:tcW w:type="dxa" w:w="41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/services/compare-order</w:t>
            </w:r>
          </w:p>
        </w:tc>
        <w:tc>
          <w:tcPr>
            <w:tcW w:type="dxa" w:w="4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New comparison/package hub</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681</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/offshore-services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/offshore/</w:t>
            </w:r>
          </w:p>
        </w:tc>
      </w:tr>
      <w:tr>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671</w:t>
            </w:r>
          </w:p>
        </w:tc>
        <w:tc>
          <w:tcPr>
            <w:tcW w:type="dxa" w:w="41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/about-us</w:t>
            </w:r>
          </w:p>
        </w:tc>
        <w:tc>
          <w:tcPr>
            <w:tcW w:type="dxa" w:w="4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/about/</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342</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/contact-us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/contact/</w:t>
            </w:r>
          </w:p>
        </w:tc>
      </w:tr>
      <w:tr>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340</w:t>
            </w:r>
          </w:p>
        </w:tc>
        <w:tc>
          <w:tcPr>
            <w:tcW w:type="dxa" w:w="41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/asset-protection</w:t>
            </w:r>
          </w:p>
        </w:tc>
        <w:tc>
          <w:tcPr>
            <w:tcW w:type="dxa" w:w="4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/asset-protection/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340</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/about-us/privacy</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/privacy-policy/</w:t>
            </w:r>
          </w:p>
        </w:tc>
      </w:tr>
      <w:tr>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334</w:t>
            </w:r>
          </w:p>
        </w:tc>
        <w:tc>
          <w:tcPr>
            <w:tcW w:type="dxa" w:w="41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/site-map</w:t>
            </w:r>
          </w:p>
        </w:tc>
        <w:tc>
          <w:tcPr>
            <w:tcW w:type="dxa" w:w="4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Auto-generated sitemap</w:t>
            </w:r>
          </w:p>
        </w:tc>
      </w:tr>
    </w:tbl>
    <w:p>
      <w:pPr>
        <w:pStyle w:val="Heading1"/>
        <w:pBdr>
          <w:bottom w:val="single" w:color="2E86C1" w:sz="3" w:space="4"/>
        </w:pBdr>
        <w:spacing w:after="200" w:before="360"/>
      </w:pPr>
      <w:r>
        <w:rPr>
          <w:rFonts w:ascii="Arial" w:cs="Arial" w:eastAsia="Arial" w:hAnsi="Arial"/>
          <w:b/>
          <w:bCs/>
          <w:color w:val="1B4F72"/>
          <w:sz w:val="32"/>
          <w:szCs w:val="32"/>
        </w:rPr>
        <w:t xml:space="preserve">8. Content Disposition Summary</w:t>
      </w:r>
    </w:p>
    <w:p>
      <w:pPr>
        <w:spacing w:after="120" w:line="276"/>
      </w:pPr>
      <w:r>
        <w:rPr>
          <w:rFonts w:ascii="Arial" w:cs="Arial" w:eastAsia="Arial" w:hAnsi="Arial"/>
          <w:color w:val="333333"/>
          <w:sz w:val="21"/>
          <w:szCs w:val="21"/>
        </w:rPr>
        <w:t xml:space="preserve">Every unique URL has been classified into one of five disposition categories. This classification drives the content migration map and redirect plan.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c>
          <w:tcPr>
            <w:tcW w:type="dxa" w:w="12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URLs</w:t>
            </w:r>
          </w:p>
        </w:tc>
        <w:tc>
          <w:tcPr>
            <w:tcW w:type="dxa" w:w="636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r>
      <w:tr>
        <w:tc>
          <w:tcPr>
            <w:tcW w:type="dxa" w:w="1800"/>
            <w:tcBorders>
              <w:top w:val="single" w:color="BDC3C7" w:sz="1"/>
              <w:left w:val="single" w:color="BDC3C7" w:sz="1"/>
              <w:bottom w:val="single" w:color="BDC3C7" w:sz="1"/>
              <w:right w:val="single" w:color="BDC3C7" w:sz="1"/>
            </w:tcBorders>
            <w:shd w:fill="C8E6C9" w:color="auto" w:val="clear"/>
            <w:tcMar>
              <w:top w:type="dxa" w:w="80"/>
              <w:left w:type="dxa" w:w="120"/>
              <w:bottom w:type="dxa" w:w="80"/>
              <w:right w:type="dxa" w:w="120"/>
            </w:tcMar>
          </w:tcPr>
          <w:p>
            <w:r>
              <w:rPr>
                <w:rFonts w:ascii="Arial" w:cs="Arial" w:eastAsia="Arial" w:hAnsi="Arial"/>
                <w:b/>
                <w:bCs/>
                <w:color w:val="333333"/>
                <w:sz w:val="20"/>
                <w:szCs w:val="20"/>
              </w:rPr>
              <w:t xml:space="preserve">Preserve</w:t>
            </w:r>
          </w:p>
        </w:tc>
        <w:tc>
          <w:tcPr>
            <w:tcW w:type="dxa" w:w="1200"/>
            <w:tcBorders>
              <w:top w:val="single" w:color="BDC3C7" w:sz="1"/>
              <w:left w:val="single" w:color="BDC3C7" w:sz="1"/>
              <w:bottom w:val="single" w:color="BDC3C7" w:sz="1"/>
              <w:right w:val="single" w:color="BDC3C7" w:sz="1"/>
            </w:tcBorders>
            <w:shd w:fill="C8E6C9" w:color="auto"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6360"/>
            <w:tcBorders>
              <w:top w:val="single" w:color="BDC3C7" w:sz="1"/>
              <w:left w:val="single" w:color="BDC3C7" w:sz="1"/>
              <w:bottom w:val="single" w:color="BDC3C7" w:sz="1"/>
              <w:right w:val="single" w:color="BDC3C7" w:sz="1"/>
            </w:tcBorders>
            <w:shd w:fill="C8E6C9" w:color="auto" w:val="clear"/>
            <w:tcMar>
              <w:top w:type="dxa" w:w="80"/>
              <w:left w:type="dxa" w:w="120"/>
              <w:bottom w:type="dxa" w:w="80"/>
              <w:right w:type="dxa" w:w="120"/>
            </w:tcMar>
          </w:tcPr>
          <w:p>
            <w:r>
              <w:rPr>
                <w:rFonts w:ascii="Arial" w:cs="Arial" w:eastAsia="Arial" w:hAnsi="Arial"/>
                <w:color w:val="333333"/>
                <w:sz w:val="20"/>
                <w:szCs w:val="20"/>
              </w:rPr>
              <w:t xml:space="preserve">Content migrates to new architecture with minimal changes (homepage, about, contact, core offshore pages)</w:t>
            </w:r>
          </w:p>
        </w:tc>
      </w:tr>
      <w:tr>
        <w:tc>
          <w:tcPr>
            <w:tcW w:type="dxa" w:w="1800"/>
            <w:tcBorders>
              <w:top w:val="single" w:color="BDC3C7" w:sz="1"/>
              <w:left w:val="single" w:color="BDC3C7" w:sz="1"/>
              <w:bottom w:val="single" w:color="BDC3C7" w:sz="1"/>
              <w:right w:val="single" w:color="BDC3C7" w:sz="1"/>
            </w:tcBorders>
            <w:shd w:fill="BBDEFB" w:color="auto" w:val="clear"/>
            <w:tcMar>
              <w:top w:type="dxa" w:w="80"/>
              <w:left w:type="dxa" w:w="120"/>
              <w:bottom w:type="dxa" w:w="80"/>
              <w:right w:type="dxa" w:w="120"/>
            </w:tcMar>
          </w:tcPr>
          <w:p>
            <w:r>
              <w:rPr>
                <w:rFonts w:ascii="Arial" w:cs="Arial" w:eastAsia="Arial" w:hAnsi="Arial"/>
                <w:b/>
                <w:bCs/>
                <w:color w:val="333333"/>
                <w:sz w:val="20"/>
                <w:szCs w:val="20"/>
              </w:rPr>
              <w:t xml:space="preserve">Enhance</w:t>
            </w:r>
          </w:p>
        </w:tc>
        <w:tc>
          <w:tcPr>
            <w:tcW w:type="dxa" w:w="1200"/>
            <w:tcBorders>
              <w:top w:val="single" w:color="BDC3C7" w:sz="1"/>
              <w:left w:val="single" w:color="BDC3C7" w:sz="1"/>
              <w:bottom w:val="single" w:color="BDC3C7" w:sz="1"/>
              <w:right w:val="single" w:color="BDC3C7" w:sz="1"/>
            </w:tcBorders>
            <w:shd w:fill="BBDEFB" w:color="auto"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6360"/>
            <w:tcBorders>
              <w:top w:val="single" w:color="BDC3C7" w:sz="1"/>
              <w:left w:val="single" w:color="BDC3C7" w:sz="1"/>
              <w:bottom w:val="single" w:color="BDC3C7" w:sz="1"/>
              <w:right w:val="single" w:color="BDC3C7" w:sz="1"/>
            </w:tcBorders>
            <w:shd w:fill="BBDEFB" w:color="auto" w:val="clear"/>
            <w:tcMar>
              <w:top w:type="dxa" w:w="80"/>
              <w:left w:type="dxa" w:w="120"/>
              <w:bottom w:type="dxa" w:w="80"/>
              <w:right w:type="dxa" w:w="120"/>
            </w:tcMar>
          </w:tcPr>
          <w:p>
            <w:r>
              <w:rPr>
                <w:rFonts w:ascii="Arial" w:cs="Arial" w:eastAsia="Arial" w:hAnsi="Arial"/>
                <w:color w:val="333333"/>
                <w:sz w:val="20"/>
                <w:szCs w:val="20"/>
              </w:rPr>
              <w:t xml:space="preserve">Content expands significantly — package pages get progressive disclosure, AP/privacy pages become pillar/cluster hubs</w:t>
            </w:r>
          </w:p>
        </w:tc>
      </w:tr>
      <w:tr>
        <w:tc>
          <w:tcPr>
            <w:tcW w:type="dxa" w:w="1800"/>
            <w:tcBorders>
              <w:top w:val="single" w:color="BDC3C7" w:sz="1"/>
              <w:left w:val="single" w:color="BDC3C7" w:sz="1"/>
              <w:bottom w:val="single" w:color="BDC3C7" w:sz="1"/>
              <w:right w:val="single" w:color="BDC3C7" w:sz="1"/>
            </w:tcBorders>
            <w:shd w:fill="FFF9C4" w:color="auto" w:val="clear"/>
            <w:tcMar>
              <w:top w:type="dxa" w:w="80"/>
              <w:left w:type="dxa" w:w="120"/>
              <w:bottom w:type="dxa" w:w="80"/>
              <w:right w:type="dxa" w:w="120"/>
            </w:tcMar>
          </w:tcPr>
          <w:p>
            <w:r>
              <w:rPr>
                <w:rFonts w:ascii="Arial" w:cs="Arial" w:eastAsia="Arial" w:hAnsi="Arial"/>
                <w:b/>
                <w:bCs/>
                <w:color w:val="333333"/>
                <w:sz w:val="20"/>
                <w:szCs w:val="20"/>
              </w:rPr>
              <w:t xml:space="preserve">Consolidate</w:t>
            </w:r>
          </w:p>
        </w:tc>
        <w:tc>
          <w:tcPr>
            <w:tcW w:type="dxa" w:w="1200"/>
            <w:tcBorders>
              <w:top w:val="single" w:color="BDC3C7" w:sz="1"/>
              <w:left w:val="single" w:color="BDC3C7" w:sz="1"/>
              <w:bottom w:val="single" w:color="BDC3C7" w:sz="1"/>
              <w:right w:val="single" w:color="BDC3C7" w:sz="1"/>
            </w:tcBorders>
            <w:shd w:fill="FFF9C4" w:color="auto" w:val="clear"/>
            <w:tcMar>
              <w:top w:type="dxa" w:w="80"/>
              <w:left w:type="dxa" w:w="120"/>
              <w:bottom w:type="dxa" w:w="80"/>
              <w:right w:type="dxa" w:w="120"/>
            </w:tcMar>
          </w:tcPr>
          <w:p>
            <w:r>
              <w:rPr>
                <w:rFonts w:ascii="Arial" w:cs="Arial" w:eastAsia="Arial" w:hAnsi="Arial"/>
                <w:color w:val="333333"/>
                <w:sz w:val="20"/>
                <w:szCs w:val="20"/>
              </w:rPr>
              <w:t xml:space="preserve">~220</w:t>
            </w:r>
          </w:p>
        </w:tc>
        <w:tc>
          <w:tcPr>
            <w:tcW w:type="dxa" w:w="6360"/>
            <w:tcBorders>
              <w:top w:val="single" w:color="BDC3C7" w:sz="1"/>
              <w:left w:val="single" w:color="BDC3C7" w:sz="1"/>
              <w:bottom w:val="single" w:color="BDC3C7" w:sz="1"/>
              <w:right w:val="single" w:color="BDC3C7" w:sz="1"/>
            </w:tcBorders>
            <w:shd w:fill="FFF9C4" w:color="auto" w:val="clear"/>
            <w:tcMar>
              <w:top w:type="dxa" w:w="80"/>
              <w:left w:type="dxa" w:w="120"/>
              <w:bottom w:type="dxa" w:w="80"/>
              <w:right w:type="dxa" w:w="120"/>
            </w:tcMar>
          </w:tcPr>
          <w:p>
            <w:r>
              <w:rPr>
                <w:rFonts w:ascii="Arial" w:cs="Arial" w:eastAsia="Arial" w:hAnsi="Arial"/>
                <w:color w:val="333333"/>
                <w:sz w:val="20"/>
                <w:szCs w:val="20"/>
              </w:rPr>
              <w:t xml:space="preserve">Content merges into parent pages — primarily LC FAQ items rolling into pillar/cluster FAQ sections</w:t>
            </w:r>
          </w:p>
        </w:tc>
      </w:tr>
      <w:tr>
        <w:tc>
          <w:tcPr>
            <w:tcW w:type="dxa" w:w="1800"/>
            <w:tcBorders>
              <w:top w:val="single" w:color="BDC3C7" w:sz="1"/>
              <w:left w:val="single" w:color="BDC3C7" w:sz="1"/>
              <w:bottom w:val="single" w:color="BDC3C7" w:sz="1"/>
              <w:right w:val="single" w:color="BDC3C7" w:sz="1"/>
            </w:tcBorders>
            <w:shd w:fill="FFCDD2" w:color="auto" w:val="clear"/>
            <w:tcMar>
              <w:top w:type="dxa" w:w="80"/>
              <w:left w:type="dxa" w:w="120"/>
              <w:bottom w:type="dxa" w:w="80"/>
              <w:right w:type="dxa" w:w="120"/>
            </w:tcMar>
          </w:tcPr>
          <w:p>
            <w:r>
              <w:rPr>
                <w:rFonts w:ascii="Arial" w:cs="Arial" w:eastAsia="Arial" w:hAnsi="Arial"/>
                <w:b/>
                <w:bCs/>
                <w:color w:val="333333"/>
                <w:sz w:val="20"/>
                <w:szCs w:val="20"/>
              </w:rPr>
              <w:t xml:space="preserve">Retire</w:t>
            </w:r>
          </w:p>
        </w:tc>
        <w:tc>
          <w:tcPr>
            <w:tcW w:type="dxa" w:w="1200"/>
            <w:tcBorders>
              <w:top w:val="single" w:color="BDC3C7" w:sz="1"/>
              <w:left w:val="single" w:color="BDC3C7" w:sz="1"/>
              <w:bottom w:val="single" w:color="BDC3C7" w:sz="1"/>
              <w:right w:val="single" w:color="BDC3C7" w:sz="1"/>
            </w:tcBorders>
            <w:shd w:fill="FFCDD2" w:color="auto"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6360"/>
            <w:tcBorders>
              <w:top w:val="single" w:color="BDC3C7" w:sz="1"/>
              <w:left w:val="single" w:color="BDC3C7" w:sz="1"/>
              <w:bottom w:val="single" w:color="BDC3C7" w:sz="1"/>
              <w:right w:val="single" w:color="BDC3C7" w:sz="1"/>
            </w:tcBorders>
            <w:shd w:fill="FFCDD2" w:color="auto" w:val="clear"/>
            <w:tcMar>
              <w:top w:type="dxa" w:w="80"/>
              <w:left w:type="dxa" w:w="120"/>
              <w:bottom w:type="dxa" w:w="80"/>
              <w:right w:type="dxa" w:w="120"/>
            </w:tcMar>
          </w:tcPr>
          <w:p>
            <w:r>
              <w:rPr>
                <w:rFonts w:ascii="Arial" w:cs="Arial" w:eastAsia="Arial" w:hAnsi="Arial"/>
                <w:color w:val="333333"/>
                <w:sz w:val="20"/>
                <w:szCs w:val="20"/>
              </w:rPr>
              <w:t xml:space="preserve">Redirect only, no content preserved — SB60 legacy, services main, utility pages</w:t>
            </w:r>
          </w:p>
        </w:tc>
      </w:tr>
      <w:tr>
        <w:tc>
          <w:tcPr>
            <w:tcW w:type="dxa" w:w="180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b/>
                <w:bCs/>
                <w:color w:val="333333"/>
                <w:sz w:val="20"/>
                <w:szCs w:val="20"/>
              </w:rPr>
              <w:t xml:space="preserve">Evaluate</w:t>
            </w:r>
          </w:p>
        </w:tc>
        <w:tc>
          <w:tcPr>
            <w:tcW w:type="dxa" w:w="120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636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color w:val="333333"/>
                <w:sz w:val="20"/>
                <w:szCs w:val="20"/>
              </w:rPr>
              <w:t xml:space="preserve">Requires review during content mapping — service add-ons, LC legal references, offshore details</w:t>
            </w:r>
          </w:p>
        </w:tc>
      </w:tr>
    </w:tbl>
    <w:p>
      <w:pPr>
        <w:pStyle w:val="Heading1"/>
        <w:pBdr>
          <w:bottom w:val="single" w:color="2E86C1" w:sz="3" w:space="4"/>
        </w:pBdr>
        <w:spacing w:after="200" w:before="360"/>
      </w:pPr>
      <w:r>
        <w:rPr>
          <w:rFonts w:ascii="Arial" w:cs="Arial" w:eastAsia="Arial" w:hAnsi="Arial"/>
          <w:b/>
          <w:bCs/>
          <w:color w:val="1B4F72"/>
          <w:sz w:val="32"/>
          <w:szCs w:val="32"/>
        </w:rPr>
        <w:t xml:space="preserve">9. Recommended Next Steps</w:t>
      </w:r>
    </w:p>
    <w:p>
      <w:pPr>
        <w:spacing w:after="60" w:before="60"/>
      </w:pPr>
    </w:p>
    <w:p>
      <w:pPr>
        <w:pStyle w:val="ListParagraph"/>
        <w:numPr>
          <w:ilvl w:val="0"/>
          <w:numId w:val="3"/>
        </w:numPr>
        <w:spacing w:after="100" w:line="276"/>
      </w:pPr>
      <w:r>
        <w:rPr>
          <w:rFonts w:ascii="Arial" w:cs="Arial" w:eastAsia="Arial" w:hAnsi="Arial"/>
          <w:b/>
          <w:bCs/>
          <w:color w:val="333333"/>
          <w:sz w:val="21"/>
          <w:szCs w:val="21"/>
        </w:rPr>
        <w:t xml:space="preserve">Finalize the Content Migration Map. </w:t>
      </w:r>
      <w:r>
        <w:rPr>
          <w:rFonts w:ascii="Arial" w:cs="Arial" w:eastAsia="Arial" w:hAnsi="Arial"/>
          <w:color w:val="333333"/>
          <w:sz w:val="21"/>
          <w:szCs w:val="21"/>
        </w:rPr>
        <w:t xml:space="preserve">Using the URL Inventory spreadsheet (all 325 unique paths classified), complete the old-to-new URL mapping with final destinations for every “Evaluate” page.</w:t>
      </w:r>
    </w:p>
    <w:p>
      <w:pPr>
        <w:pStyle w:val="ListParagraph"/>
        <w:numPr>
          <w:ilvl w:val="0"/>
          <w:numId w:val="3"/>
        </w:numPr>
        <w:spacing w:after="100" w:line="276"/>
      </w:pPr>
      <w:r>
        <w:rPr>
          <w:rFonts w:ascii="Arial" w:cs="Arial" w:eastAsia="Arial" w:hAnsi="Arial"/>
          <w:b/>
          <w:bCs/>
          <w:color w:val="333333"/>
          <w:sz w:val="21"/>
          <w:szCs w:val="21"/>
        </w:rPr>
        <w:t xml:space="preserve">Review the 188 FAQ Items. </w:t>
      </w:r>
      <w:r>
        <w:rPr>
          <w:rFonts w:ascii="Arial" w:cs="Arial" w:eastAsia="Arial" w:hAnsi="Arial"/>
          <w:color w:val="333333"/>
          <w:sz w:val="21"/>
          <w:szCs w:val="21"/>
        </w:rPr>
        <w:t xml:space="preserve">Each item needs a destination in the new architecture. Most will become inline FAQ sections on pillar and cluster pages. Some may warrant their own cluster page.</w:t>
      </w:r>
    </w:p>
    <w:p>
      <w:pPr>
        <w:pStyle w:val="ListParagraph"/>
        <w:numPr>
          <w:ilvl w:val="0"/>
          <w:numId w:val="3"/>
        </w:numPr>
        <w:spacing w:after="100" w:line="276"/>
      </w:pPr>
      <w:r>
        <w:rPr>
          <w:rFonts w:ascii="Arial" w:cs="Arial" w:eastAsia="Arial" w:hAnsi="Arial"/>
          <w:b/>
          <w:bCs/>
          <w:color w:val="333333"/>
          <w:sz w:val="21"/>
          <w:szCs w:val="21"/>
        </w:rPr>
        <w:t xml:space="preserve">Build the 301 Redirect Map. </w:t>
      </w:r>
      <w:r>
        <w:rPr>
          <w:rFonts w:ascii="Arial" w:cs="Arial" w:eastAsia="Arial" w:hAnsi="Arial"/>
          <w:color w:val="333333"/>
          <w:sz w:val="21"/>
          <w:szCs w:val="21"/>
        </w:rPr>
        <w:t xml:space="preserve">The 10 highest-inlink pages (1,450 down to 334 inlinks) need precise redirect targets. The bulk of LC items can follow a pattern-based redirect rule.</w:t>
      </w:r>
    </w:p>
    <w:p>
      <w:pPr>
        <w:pStyle w:val="ListParagraph"/>
        <w:numPr>
          <w:ilvl w:val="0"/>
          <w:numId w:val="3"/>
        </w:numPr>
        <w:spacing w:after="100" w:line="276"/>
      </w:pPr>
      <w:r>
        <w:rPr>
          <w:rFonts w:ascii="Arial" w:cs="Arial" w:eastAsia="Arial" w:hAnsi="Arial"/>
          <w:b/>
          <w:bCs/>
          <w:color w:val="333333"/>
          <w:sz w:val="21"/>
          <w:szCs w:val="21"/>
        </w:rPr>
        <w:t xml:space="preserve">Fix Broken Internal Links Immediately. </w:t>
      </w:r>
      <w:r>
        <w:rPr>
          <w:rFonts w:ascii="Arial" w:cs="Arial" w:eastAsia="Arial" w:hAnsi="Arial"/>
          <w:color w:val="333333"/>
          <w:sz w:val="21"/>
          <w:szCs w:val="21"/>
        </w:rPr>
        <w:t xml:space="preserve">The 6 internal 404s should be corrected in the current site now, before the redesign launch. This prevents crawl waste and improves current SEO.</w:t>
      </w:r>
    </w:p>
    <w:p>
      <w:pPr>
        <w:pStyle w:val="ListParagraph"/>
        <w:numPr>
          <w:ilvl w:val="0"/>
          <w:numId w:val="3"/>
        </w:numPr>
        <w:spacing w:after="100" w:line="276"/>
      </w:pPr>
      <w:r>
        <w:rPr>
          <w:rFonts w:ascii="Arial" w:cs="Arial" w:eastAsia="Arial" w:hAnsi="Arial"/>
          <w:b/>
          <w:bCs/>
          <w:color w:val="333333"/>
          <w:sz w:val="21"/>
          <w:szCs w:val="21"/>
        </w:rPr>
        <w:t xml:space="preserve">Proceed to UX &amp; Prototyping. </w:t>
      </w:r>
      <w:r>
        <w:rPr>
          <w:rFonts w:ascii="Arial" w:cs="Arial" w:eastAsia="Arial" w:hAnsi="Arial"/>
          <w:color w:val="333333"/>
          <w:sz w:val="21"/>
          <w:szCs w:val="21"/>
        </w:rPr>
        <w:t xml:space="preserve">The audit confirms the 71-page architecture is achievable and appropriate. With the site architecture approved, the UX team can begin homepage and pillar page prototyping.</w:t>
      </w:r>
    </w:p>
    <w:p>
      <w:pPr>
        <w:pStyle w:val="Heading1"/>
        <w:pBdr>
          <w:bottom w:val="single" w:color="2E86C1" w:sz="3" w:space="4"/>
        </w:pBdr>
        <w:spacing w:after="200" w:before="360"/>
      </w:pPr>
      <w:r>
        <w:rPr>
          <w:rFonts w:ascii="Arial" w:cs="Arial" w:eastAsia="Arial" w:hAnsi="Arial"/>
          <w:b/>
          <w:bCs/>
          <w:color w:val="1B4F72"/>
          <w:sz w:val="32"/>
          <w:szCs w:val="32"/>
        </w:rPr>
        <w:t xml:space="preserve">10. Companion Spreadsheet</w:t>
      </w:r>
    </w:p>
    <w:p>
      <w:pPr>
        <w:spacing w:after="120" w:line="276"/>
      </w:pPr>
      <w:r>
        <w:rPr>
          <w:rFonts w:ascii="Arial" w:cs="Arial" w:eastAsia="Arial" w:hAnsi="Arial"/>
          <w:color w:val="333333"/>
          <w:sz w:val="21"/>
          <w:szCs w:val="21"/>
        </w:rPr>
        <w:t xml:space="preserve">This executive summary is accompanied by the detailed audit spreadsheet (Incorporate123_Current_Site_Audit.xlsx) containing seven worksheets:</w:t>
      </w:r>
    </w:p>
    <w:p>
      <w:pPr>
        <w:spacing w:after="40" w:before="40"/>
      </w:pPr>
    </w:p>
    <w:p>
      <w:pPr>
        <w:pStyle w:val="ListParagraph"/>
        <w:numPr>
          <w:ilvl w:val="0"/>
          <w:numId w:val="2"/>
        </w:numPr>
        <w:spacing w:after="60" w:line="276"/>
      </w:pPr>
      <w:r>
        <w:rPr>
          <w:rFonts w:ascii="Arial" w:cs="Arial" w:eastAsia="Arial" w:hAnsi="Arial"/>
          <w:b/>
          <w:bCs/>
          <w:color w:val="333333"/>
          <w:sz w:val="21"/>
          <w:szCs w:val="21"/>
        </w:rPr>
        <w:t xml:space="preserve">Audit Summary </w:t>
      </w:r>
      <w:r>
        <w:rPr>
          <w:rFonts w:ascii="Arial" w:cs="Arial" w:eastAsia="Arial" w:hAnsi="Arial"/>
          <w:color w:val="333333"/>
          <w:sz w:val="21"/>
          <w:szCs w:val="21"/>
        </w:rPr>
        <w:t xml:space="preserve">— Dashboard of all key metrics, SEO coverage, content stats, and performance data</w:t>
      </w:r>
    </w:p>
    <w:p>
      <w:pPr>
        <w:pStyle w:val="ListParagraph"/>
        <w:numPr>
          <w:ilvl w:val="0"/>
          <w:numId w:val="2"/>
        </w:numPr>
        <w:spacing w:after="60" w:line="276"/>
      </w:pPr>
      <w:r>
        <w:rPr>
          <w:rFonts w:ascii="Arial" w:cs="Arial" w:eastAsia="Arial" w:hAnsi="Arial"/>
          <w:b/>
          <w:bCs/>
          <w:color w:val="333333"/>
          <w:sz w:val="21"/>
          <w:szCs w:val="21"/>
        </w:rPr>
        <w:t xml:space="preserve">URL Inventory </w:t>
      </w:r>
      <w:r>
        <w:rPr>
          <w:rFonts w:ascii="Arial" w:cs="Arial" w:eastAsia="Arial" w:hAnsi="Arial"/>
          <w:color w:val="333333"/>
          <w:sz w:val="21"/>
          <w:szCs w:val="21"/>
        </w:rPr>
        <w:t xml:space="preserve">— All 325 unique URLs with template classification, disposition, destination mapping, and SEO metadata</w:t>
      </w:r>
    </w:p>
    <w:p>
      <w:pPr>
        <w:pStyle w:val="ListParagraph"/>
        <w:numPr>
          <w:ilvl w:val="0"/>
          <w:numId w:val="2"/>
        </w:numPr>
        <w:spacing w:after="60" w:line="276"/>
      </w:pPr>
      <w:r>
        <w:rPr>
          <w:rFonts w:ascii="Arial" w:cs="Arial" w:eastAsia="Arial" w:hAnsi="Arial"/>
          <w:b/>
          <w:bCs/>
          <w:color w:val="333333"/>
          <w:sz w:val="21"/>
          <w:szCs w:val="21"/>
        </w:rPr>
        <w:t xml:space="preserve">Template Map </w:t>
      </w:r>
      <w:r>
        <w:rPr>
          <w:rFonts w:ascii="Arial" w:cs="Arial" w:eastAsia="Arial" w:hAnsi="Arial"/>
          <w:color w:val="333333"/>
          <w:sz w:val="21"/>
          <w:szCs w:val="21"/>
        </w:rPr>
        <w:t xml:space="preserve">— All 23 template types with page counts and new architecture mapping</w:t>
      </w:r>
    </w:p>
    <w:p>
      <w:pPr>
        <w:pStyle w:val="ListParagraph"/>
        <w:numPr>
          <w:ilvl w:val="0"/>
          <w:numId w:val="2"/>
        </w:numPr>
        <w:spacing w:after="60" w:line="276"/>
      </w:pPr>
      <w:r>
        <w:rPr>
          <w:rFonts w:ascii="Arial" w:cs="Arial" w:eastAsia="Arial" w:hAnsi="Arial"/>
          <w:b/>
          <w:bCs/>
          <w:color w:val="333333"/>
          <w:sz w:val="21"/>
          <w:szCs w:val="21"/>
        </w:rPr>
        <w:t xml:space="preserve">FAQ Analysis </w:t>
      </w:r>
      <w:r>
        <w:rPr>
          <w:rFonts w:ascii="Arial" w:cs="Arial" w:eastAsia="Arial" w:hAnsi="Arial"/>
          <w:color w:val="333333"/>
          <w:sz w:val="21"/>
          <w:szCs w:val="21"/>
        </w:rPr>
        <w:t xml:space="preserve">— All 24 Learning Center categories with item counts and consolidation plan</w:t>
      </w:r>
    </w:p>
    <w:p>
      <w:pPr>
        <w:pStyle w:val="ListParagraph"/>
        <w:numPr>
          <w:ilvl w:val="0"/>
          <w:numId w:val="2"/>
        </w:numPr>
        <w:spacing w:after="60" w:line="276"/>
      </w:pPr>
      <w:r>
        <w:rPr>
          <w:rFonts w:ascii="Arial" w:cs="Arial" w:eastAsia="Arial" w:hAnsi="Arial"/>
          <w:b/>
          <w:bCs/>
          <w:color w:val="333333"/>
          <w:sz w:val="21"/>
          <w:szCs w:val="21"/>
        </w:rPr>
        <w:t xml:space="preserve">Duplicate Content </w:t>
      </w:r>
      <w:r>
        <w:rPr>
          <w:rFonts w:ascii="Arial" w:cs="Arial" w:eastAsia="Arial" w:hAnsi="Arial"/>
          <w:color w:val="333333"/>
          <w:sz w:val="21"/>
          <w:szCs w:val="21"/>
        </w:rPr>
        <w:t xml:space="preserve">— All 49 duplicate content groups with canonicalization recommendations</w:t>
      </w:r>
    </w:p>
    <w:p>
      <w:pPr>
        <w:pStyle w:val="ListParagraph"/>
        <w:numPr>
          <w:ilvl w:val="0"/>
          <w:numId w:val="2"/>
        </w:numPr>
        <w:spacing w:after="60" w:line="276"/>
      </w:pPr>
      <w:r>
        <w:rPr>
          <w:rFonts w:ascii="Arial" w:cs="Arial" w:eastAsia="Arial" w:hAnsi="Arial"/>
          <w:b/>
          <w:bCs/>
          <w:color w:val="333333"/>
          <w:sz w:val="21"/>
          <w:szCs w:val="21"/>
        </w:rPr>
        <w:t xml:space="preserve">Issues &amp; 404s </w:t>
      </w:r>
      <w:r>
        <w:rPr>
          <w:rFonts w:ascii="Arial" w:cs="Arial" w:eastAsia="Arial" w:hAnsi="Arial"/>
          <w:color w:val="333333"/>
          <w:sz w:val="21"/>
          <w:szCs w:val="21"/>
        </w:rPr>
        <w:t xml:space="preserve">— Broken links, missing H1s, missing meta descriptions</w:t>
      </w:r>
    </w:p>
    <w:p>
      <w:pPr>
        <w:pStyle w:val="ListParagraph"/>
        <w:numPr>
          <w:ilvl w:val="0"/>
          <w:numId w:val="2"/>
        </w:numPr>
        <w:spacing w:after="60" w:line="276"/>
      </w:pPr>
      <w:r>
        <w:rPr>
          <w:rFonts w:ascii="Arial" w:cs="Arial" w:eastAsia="Arial" w:hAnsi="Arial"/>
          <w:b/>
          <w:bCs/>
          <w:color w:val="333333"/>
          <w:sz w:val="21"/>
          <w:szCs w:val="21"/>
        </w:rPr>
        <w:t xml:space="preserve">Top Pages </w:t>
      </w:r>
      <w:r>
        <w:rPr>
          <w:rFonts w:ascii="Arial" w:cs="Arial" w:eastAsia="Arial" w:hAnsi="Arial"/>
          <w:color w:val="333333"/>
          <w:sz w:val="21"/>
          <w:szCs w:val="21"/>
        </w:rPr>
        <w:t xml:space="preserve">— 50 highest-inlinked pages for redirect priority</w:t>
      </w:r>
    </w:p>
    <w:p>
      <w:pPr>
        <w:spacing w:after="200" w:before="200"/>
      </w:pPr>
    </w:p>
    <w:p>
      <w:pPr>
        <w:pBdr>
          <w:top w:val="single" w:color="2E86C1" w:sz="2" w:space="8"/>
        </w:pBdr>
        <w:spacing w:before="200"/>
        <w:jc w:val="center"/>
      </w:pPr>
      <w:r>
        <w:rPr>
          <w:rFonts w:ascii="Arial" w:cs="Arial" w:eastAsia="Arial" w:hAnsi="Arial"/>
          <w:i/>
          <w:iCs/>
          <w:color w:val="666666"/>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space="4"/>
      </w:pBdr>
      <w:tabs>
        <w:tab w:val="right" w:pos="9026"/>
      </w:tabs>
    </w:pPr>
    <w:r>
      <w:rPr>
        <w:rFonts w:ascii="Arial" w:cs="Arial" w:eastAsia="Arial" w:hAnsi="Arial"/>
        <w:color w:val="666666"/>
        <w:sz w:val="16"/>
        <w:szCs w:val="16"/>
      </w:rPr>
      <w:t xml:space="preserve">Incorporate123 — Site Audit Executive Summary</w:t>
    </w:r>
    <w:r>
      <w:rPr>
        <w:rFonts w:ascii="Arial" w:cs="Arial" w:eastAsia="Arial" w:hAnsi="Arial"/>
        <w:color w:val="666666"/>
        <w:sz w:val="16"/>
        <w:szCs w:val="16"/>
      </w:rPr>
      <w:t xml:space="preserve">	BIT Studios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2026-02-28T00:27:41.884Z</dcterms:created>
  <dcterms:modified xsi:type="dcterms:W3CDTF">2026-02-28T00:27:41.885Z</dcterms:modified>
</cp:coreProperties>
</file>

<file path=docProps/custom.xml><?xml version="1.0" encoding="utf-8"?>
<Properties xmlns="http://schemas.openxmlformats.org/officeDocument/2006/custom-properties" xmlns:vt="http://schemas.openxmlformats.org/officeDocument/2006/docPropsVTypes"/>
</file>