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2000"/>
      </w:pPr>
    </w:p>
    <w:p>
      <w:pPr>
        <w:spacing w:after="200"/>
        <w:jc w:val="center"/>
      </w:pPr>
      <w:r>
        <w:rPr>
          <w:rFonts w:ascii="Arial" w:cs="Arial" w:eastAsia="Arial" w:hAnsi="Arial"/>
          <w:b/>
          <w:bCs/>
          <w:color w:val="2E86C1"/>
          <w:spacing w:val="200"/>
          <w:sz w:val="28"/>
          <w:szCs w:val="28"/>
        </w:rPr>
        <w:t xml:space="preserve">INCORPORATE123.CO</w:t>
      </w:r>
    </w:p>
    <w:p>
      <w:pPr>
        <w:pBdr>
          <w:bottom w:val="single" w:color="2E86C1" w:sz="3" w:space="8"/>
        </w:pBdr>
        <w:spacing w:after="100"/>
        <w:jc w:val="center"/>
      </w:pPr>
      <w:r>
        <w:rPr>
          <w:rFonts w:ascii="Arial" w:cs="Arial" w:eastAsia="Arial" w:hAnsi="Arial"/>
          <w:color w:val="666666"/>
          <w:sz w:val="22"/>
          <w:szCs w:val="22"/>
        </w:rPr>
        <w:t xml:space="preserve">Phase 1: Discovery &amp; Strategy</w:t>
      </w:r>
    </w:p>
    <w:p>
      <w:pPr>
        <w:spacing w:after="400" w:before="400"/>
      </w:pPr>
    </w:p>
    <w:p>
      <w:pPr>
        <w:spacing w:after="160"/>
        <w:jc w:val="center"/>
      </w:pPr>
      <w:r>
        <w:rPr>
          <w:rFonts w:ascii="Arial" w:cs="Arial" w:eastAsia="Arial" w:hAnsi="Arial"/>
          <w:b/>
          <w:bCs/>
          <w:color w:val="1B4F72"/>
          <w:sz w:val="48"/>
          <w:szCs w:val="48"/>
        </w:rPr>
        <w:t xml:space="preserve">Content Migration Map</w:t>
      </w:r>
    </w:p>
    <w:p>
      <w:pPr>
        <w:spacing w:after="120"/>
        <w:jc w:val="center"/>
      </w:pPr>
      <w:r>
        <w:rPr>
          <w:rFonts w:ascii="Arial" w:cs="Arial" w:eastAsia="Arial" w:hAnsi="Arial"/>
          <w:color w:val="2E86C1"/>
          <w:sz w:val="32"/>
          <w:szCs w:val="32"/>
        </w:rPr>
        <w:t xml:space="preserve">Executive Summary</w:t>
      </w:r>
    </w:p>
    <w:p>
      <w:pPr>
        <w:spacing w:after="200" w:before="200"/>
      </w:pPr>
    </w:p>
    <w:p>
      <w:pPr>
        <w:spacing w:after="80"/>
        <w:jc w:val="center"/>
      </w:pPr>
      <w:r>
        <w:rPr>
          <w:rFonts w:ascii="Arial" w:cs="Arial" w:eastAsia="Arial" w:hAnsi="Arial"/>
          <w:color w:val="666666"/>
          <w:sz w:val="20"/>
          <w:szCs w:val="20"/>
        </w:rPr>
        <w:t xml:space="preserve">326 URLs Mapped • 33 New Pages • 14 Cross-Pillar References • 117 Redirects</w:t>
      </w:r>
    </w:p>
    <w:p>
      <w:pPr>
        <w:spacing w:after="600" w:before="600"/>
      </w:pPr>
    </w:p>
    <w:p>
      <w:pPr>
        <w:spacing w:after="80"/>
        <w:jc w:val="center"/>
      </w:pPr>
      <w:r>
        <w:rPr>
          <w:rFonts w:ascii="Arial" w:cs="Arial" w:eastAsia="Arial" w:hAnsi="Arial"/>
          <w:color w:val="666666"/>
          <w:sz w:val="22"/>
          <w:szCs w:val="22"/>
        </w:rPr>
        <w:t xml:space="preserve">Prepared by: BIT Studios</w:t>
      </w:r>
    </w:p>
    <w:p>
      <w:pPr>
        <w:spacing w:after="80"/>
        <w:jc w:val="center"/>
      </w:pPr>
      <w:r>
        <w:rPr>
          <w:rFonts w:ascii="Arial" w:cs="Arial" w:eastAsia="Arial" w:hAnsi="Arial"/>
          <w:color w:val="666666"/>
          <w:sz w:val="22"/>
          <w:szCs w:val="22"/>
        </w:rPr>
        <w:t xml:space="preserve">Prepared for: Incorporate123 (David)</w:t>
      </w:r>
    </w:p>
    <w:p>
      <w:pPr>
        <w:spacing w:after="80"/>
        <w:jc w:val="center"/>
      </w:pPr>
      <w:r>
        <w:rPr>
          <w:rFonts w:ascii="Arial" w:cs="Arial" w:eastAsia="Arial" w:hAnsi="Arial"/>
          <w:color w:val="666666"/>
          <w:sz w:val="22"/>
          <w:szCs w:val="22"/>
        </w:rPr>
        <w:t xml:space="preserve">February 2026</w:t>
      </w:r>
    </w:p>
    <w:p>
      <w:pPr>
        <w:spacing w:after="400" w:before="400"/>
      </w:pPr>
    </w:p>
    <w:p>
      <w:pPr>
        <w:jc w:val="center"/>
      </w:pPr>
      <w:r>
        <w:rPr>
          <w:rFonts w:ascii="Arial" w:cs="Arial" w:eastAsia="Arial" w:hAnsi="Arial"/>
          <w:b/>
          <w:bCs/>
          <w:color w:val="BDC3C7"/>
          <w:spacing w:val="150"/>
          <w:sz w:val="18"/>
          <w:szCs w:val="18"/>
        </w:rPr>
        <w:t xml:space="preserve">CONFIDENTIAL</w:t>
      </w:r>
    </w:p>
    <w:p>
      <w:pPr>
        <w:sectPr>
          <w:pgSz w:w="12240" w:h="15840" w:orient="portrait"/>
          <w:pgMar w:top="1440" w:right="1440" w:bottom="1440" w:left="1440" w:header="708" w:footer="708" w:gutter="0"/>
          <w:pgNumType/>
          <w:docGrid w:linePitch="360"/>
        </w:sectPr>
      </w:pPr>
    </w:p>
    <w:p>
      <w:pPr>
        <w:pStyle w:val="Heading1"/>
        <w:pBdr>
          <w:bottom w:val="single" w:color="2E86C1" w:sz="3" w:space="4"/>
        </w:pBdr>
        <w:spacing w:after="200" w:before="360"/>
      </w:pPr>
      <w:r>
        <w:rPr>
          <w:rFonts w:ascii="Arial" w:cs="Arial" w:eastAsia="Arial" w:hAnsi="Arial"/>
          <w:b/>
          <w:bCs/>
          <w:color w:val="1B4F72"/>
          <w:sz w:val="32"/>
          <w:szCs w:val="32"/>
        </w:rPr>
        <w:t xml:space="preserve">1. Purpose of This Document</w:t>
      </w:r>
    </w:p>
    <w:p>
      <w:pPr>
        <w:spacing w:after="120" w:line="276"/>
      </w:pPr>
      <w:r>
        <w:rPr>
          <w:rFonts w:ascii="Arial" w:cs="Arial" w:eastAsia="Arial" w:hAnsi="Arial"/>
          <w:color w:val="333333"/>
          <w:sz w:val="21"/>
          <w:szCs w:val="21"/>
        </w:rPr>
        <w:t xml:space="preserve">The Content Migration Map is the second major deliverable of Phase 1: Discovery &amp; Strategy. Building on the Site Audit (Deliverable 4.1), this document answers the question every downstream workstream depends on: where does each piece of existing content go in the new architecture?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color="auto" w:val="clear"/>
            <w:tcMar>
              <w:top w:type="dxa" w:w="120"/>
              <w:left w:type="dxa" w:w="200"/>
              <w:bottom w:type="dxa" w:w="120"/>
              <w:right w:type="dxa" w:w="200"/>
            </w:tcMar>
          </w:tcPr>
          <w:p>
            <w:pPr>
              <w:spacing w:after="60"/>
            </w:pPr>
            <w:r>
              <w:rPr>
                <w:rFonts w:ascii="Arial" w:cs="Arial" w:eastAsia="Arial" w:hAnsi="Arial"/>
                <w:b/>
                <w:bCs/>
                <w:color w:val="1B4F72"/>
                <w:sz w:val="21"/>
                <w:szCs w:val="21"/>
              </w:rPr>
              <w:t xml:space="preserve">Bottom Line</w:t>
            </w:r>
          </w:p>
          <w:p>
            <w:pPr>
              <w:spacing w:after="0"/>
            </w:pPr>
            <w:r>
              <w:rPr>
                <w:rFonts w:ascii="Arial" w:cs="Arial" w:eastAsia="Arial" w:hAnsi="Arial"/>
                <w:color w:val="444444"/>
                <w:sz w:val="20"/>
                <w:szCs w:val="20"/>
              </w:rPr>
              <w:t xml:space="preserve">Every one of the 326 unique URLs on the current incorporate123.co site has been assigned a specific destination in the new architecture. The mapping confirms that the 71-page target is achievable: the vast majority of current URLs consolidate into pillar and cluster pages rather than requiring standalone replacements. Thirty-three new pages must be created from scratch. Fourteen pages require cross-pillar linking to avoid content silos. The redirect map covers 117 individual redirect rules plus 4 pattern-based rules for bulk Learning Center content.</w:t>
            </w:r>
          </w:p>
        </w:tc>
      </w:tr>
    </w:tbl>
    <w:p>
      <w:pPr>
        <w:spacing w:after="60" w:before="60"/>
      </w:pPr>
    </w:p>
    <w:p>
      <w:pPr>
        <w:spacing w:after="120" w:line="276"/>
      </w:pPr>
      <w:r>
        <w:rPr>
          <w:rFonts w:ascii="Arial" w:cs="Arial" w:eastAsia="Arial" w:hAnsi="Arial"/>
          <w:color w:val="333333"/>
          <w:sz w:val="21"/>
          <w:szCs w:val="21"/>
        </w:rPr>
        <w:t xml:space="preserve">This deliverable is a companion to the Content Migration Map spreadsheet (Incorporate123_Content_Migration_Map.xlsx), which contains the full page-by-page mapping across six worksheets. This executive summary highlights the strategic decisions, disposition breakdown, gap analysis, and cross-pillar linking requirements that inform all subsequent design, development, and SEO work.</w:t>
      </w:r>
    </w:p>
    <w:p>
      <w:pPr>
        <w:pStyle w:val="Heading1"/>
        <w:pBdr>
          <w:bottom w:val="single" w:color="2E86C1" w:sz="3" w:space="4"/>
        </w:pBdr>
        <w:spacing w:after="200" w:before="360"/>
      </w:pPr>
      <w:r>
        <w:rPr>
          <w:rFonts w:ascii="Arial" w:cs="Arial" w:eastAsia="Arial" w:hAnsi="Arial"/>
          <w:b/>
          <w:bCs/>
          <w:color w:val="1B4F72"/>
          <w:sz w:val="32"/>
          <w:szCs w:val="32"/>
        </w:rPr>
        <w:t xml:space="preserve">2. Migration at a Glance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3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Total URLs Mapped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326</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Every unique path has a destination</w:t>
            </w:r>
          </w:p>
        </w:tc>
      </w:tr>
      <w:tr>
        <w:tc>
          <w:tcPr>
            <w:tcW w:type="dxa" w:w="4000"/>
            <w:tcBorders>
              <w:top w:val="single" w:color="BDC3C7" w:sz="1"/>
              <w:left w:val="single" w:color="BDC3C7" w:sz="1"/>
              <w:bottom w:val="single" w:color="BDC3C7" w:sz="1"/>
              <w:right w:val="single" w:color="BDC3C7" w:sz="1"/>
            </w:tcBorders>
            <w:shd w:fill="C8E6C9" w:color="auto" w:val="clear"/>
            <w:tcMar>
              <w:top w:type="dxa" w:w="80"/>
              <w:left w:type="dxa" w:w="120"/>
              <w:bottom w:type="dxa" w:w="80"/>
              <w:right w:type="dxa" w:w="120"/>
            </w:tcMar>
          </w:tcPr>
          <w:p>
            <w:r>
              <w:rPr>
                <w:rFonts w:ascii="Arial" w:cs="Arial" w:eastAsia="Arial" w:hAnsi="Arial"/>
                <w:b/>
                <w:bCs/>
                <w:color w:val="333333"/>
                <w:sz w:val="20"/>
                <w:szCs w:val="20"/>
              </w:rPr>
              <w:t xml:space="preserve">Preserve (minimal changes)</w:t>
            </w:r>
          </w:p>
        </w:tc>
        <w:tc>
          <w:tcPr>
            <w:tcW w:type="dxa" w:w="2000"/>
            <w:tcBorders>
              <w:top w:val="single" w:color="BDC3C7" w:sz="1"/>
              <w:left w:val="single" w:color="BDC3C7" w:sz="1"/>
              <w:bottom w:val="single" w:color="BDC3C7" w:sz="1"/>
              <w:right w:val="single" w:color="BDC3C7" w:sz="1"/>
            </w:tcBorders>
            <w:shd w:fill="C8E6C9" w:color="auto" w:val="clear"/>
            <w:tcMar>
              <w:top w:type="dxa" w:w="80"/>
              <w:left w:type="dxa" w:w="120"/>
              <w:bottom w:type="dxa" w:w="80"/>
              <w:right w:type="dxa" w:w="120"/>
            </w:tcMar>
          </w:tcPr>
          <w:p>
            <w:r>
              <w:rPr>
                <w:rFonts w:ascii="Arial" w:cs="Arial" w:eastAsia="Arial" w:hAnsi="Arial"/>
                <w:color w:val="333333"/>
                <w:sz w:val="20"/>
                <w:szCs w:val="20"/>
              </w:rPr>
              <w:t xml:space="preserve">~30</w:t>
            </w:r>
          </w:p>
        </w:tc>
        <w:tc>
          <w:tcPr>
            <w:tcW w:type="dxa" w:w="3360"/>
            <w:tcBorders>
              <w:top w:val="single" w:color="BDC3C7" w:sz="1"/>
              <w:left w:val="single" w:color="BDC3C7" w:sz="1"/>
              <w:bottom w:val="single" w:color="BDC3C7" w:sz="1"/>
              <w:right w:val="single" w:color="BDC3C7" w:sz="1"/>
            </w:tcBorders>
            <w:shd w:fill="C8E6C9" w:color="auto" w:val="clear"/>
            <w:tcMar>
              <w:top w:type="dxa" w:w="80"/>
              <w:left w:type="dxa" w:w="120"/>
              <w:bottom w:type="dxa" w:w="80"/>
              <w:right w:type="dxa" w:w="120"/>
            </w:tcMar>
          </w:tcPr>
          <w:p>
            <w:r>
              <w:rPr>
                <w:rFonts w:ascii="Arial" w:cs="Arial" w:eastAsia="Arial" w:hAnsi="Arial"/>
                <w:color w:val="333333"/>
                <w:sz w:val="20"/>
                <w:szCs w:val="20"/>
              </w:rPr>
              <w:t xml:space="preserve">9% of URLs</w:t>
            </w:r>
          </w:p>
        </w:tc>
      </w:tr>
      <w:tr>
        <w:tc>
          <w:tcPr>
            <w:tcW w:type="dxa" w:w="4000"/>
            <w:tcBorders>
              <w:top w:val="single" w:color="BDC3C7" w:sz="1"/>
              <w:left w:val="single" w:color="BDC3C7" w:sz="1"/>
              <w:bottom w:val="single" w:color="BDC3C7" w:sz="1"/>
              <w:right w:val="single" w:color="BDC3C7" w:sz="1"/>
            </w:tcBorders>
            <w:shd w:fill="BBDEFB" w:color="auto" w:val="clear"/>
            <w:tcMar>
              <w:top w:type="dxa" w:w="80"/>
              <w:left w:type="dxa" w:w="120"/>
              <w:bottom w:type="dxa" w:w="80"/>
              <w:right w:type="dxa" w:w="120"/>
            </w:tcMar>
          </w:tcPr>
          <w:p>
            <w:r>
              <w:rPr>
                <w:rFonts w:ascii="Arial" w:cs="Arial" w:eastAsia="Arial" w:hAnsi="Arial"/>
                <w:b/>
                <w:bCs/>
                <w:color w:val="333333"/>
                <w:sz w:val="20"/>
                <w:szCs w:val="20"/>
              </w:rPr>
              <w:t xml:space="preserve">Enhance (significant expansion)</w:t>
            </w:r>
          </w:p>
        </w:tc>
        <w:tc>
          <w:tcPr>
            <w:tcW w:type="dxa" w:w="2000"/>
            <w:tcBorders>
              <w:top w:val="single" w:color="BDC3C7" w:sz="1"/>
              <w:left w:val="single" w:color="BDC3C7" w:sz="1"/>
              <w:bottom w:val="single" w:color="BDC3C7" w:sz="1"/>
              <w:right w:val="single" w:color="BDC3C7" w:sz="1"/>
            </w:tcBorders>
            <w:shd w:fill="BBDEFB" w:color="auto"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3360"/>
            <w:tcBorders>
              <w:top w:val="single" w:color="BDC3C7" w:sz="1"/>
              <w:left w:val="single" w:color="BDC3C7" w:sz="1"/>
              <w:bottom w:val="single" w:color="BDC3C7" w:sz="1"/>
              <w:right w:val="single" w:color="BDC3C7" w:sz="1"/>
            </w:tcBorders>
            <w:shd w:fill="BBDEFB" w:color="auto" w:val="clear"/>
            <w:tcMar>
              <w:top w:type="dxa" w:w="80"/>
              <w:left w:type="dxa" w:w="120"/>
              <w:bottom w:type="dxa" w:w="80"/>
              <w:right w:type="dxa" w:w="120"/>
            </w:tcMar>
          </w:tcPr>
          <w:p>
            <w:r>
              <w:rPr>
                <w:rFonts w:ascii="Arial" w:cs="Arial" w:eastAsia="Arial" w:hAnsi="Arial"/>
                <w:color w:val="333333"/>
                <w:sz w:val="20"/>
                <w:szCs w:val="20"/>
              </w:rPr>
              <w:t xml:space="preserve">8% — package pages, pillar hubs</w:t>
            </w:r>
          </w:p>
        </w:tc>
      </w:tr>
      <w:tr>
        <w:tc>
          <w:tcPr>
            <w:tcW w:type="dxa" w:w="400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b/>
                <w:bCs/>
                <w:color w:val="333333"/>
                <w:sz w:val="20"/>
                <w:szCs w:val="20"/>
              </w:rPr>
              <w:t xml:space="preserve">Consolidate (merge into parents)</w:t>
            </w:r>
          </w:p>
        </w:tc>
        <w:tc>
          <w:tcPr>
            <w:tcW w:type="dxa" w:w="200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color w:val="333333"/>
                <w:sz w:val="20"/>
                <w:szCs w:val="20"/>
              </w:rPr>
              <w:t xml:space="preserve">~249</w:t>
            </w:r>
          </w:p>
        </w:tc>
        <w:tc>
          <w:tcPr>
            <w:tcW w:type="dxa" w:w="336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color w:val="333333"/>
                <w:sz w:val="20"/>
                <w:szCs w:val="20"/>
              </w:rPr>
              <w:t xml:space="preserve">76% — primarily LC FAQ items</w:t>
            </w:r>
          </w:p>
        </w:tc>
      </w:tr>
      <w:tr>
        <w:tc>
          <w:tcPr>
            <w:tcW w:type="dxa" w:w="400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b/>
                <w:bCs/>
                <w:color w:val="333333"/>
                <w:sz w:val="20"/>
                <w:szCs w:val="20"/>
              </w:rPr>
              <w:t xml:space="preserve">Retire (redirect only)</w:t>
            </w:r>
          </w:p>
        </w:tc>
        <w:tc>
          <w:tcPr>
            <w:tcW w:type="dxa" w:w="200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336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color w:val="333333"/>
                <w:sz w:val="20"/>
                <w:szCs w:val="20"/>
              </w:rPr>
              <w:t xml:space="preserve">7% — SB60 legacy, obsolete utility</w:t>
            </w:r>
          </w:p>
        </w:tc>
      </w:tr>
      <w:tr>
        <w:tc>
          <w:tcPr>
            <w:tcW w:type="dxa" w:w="4000"/>
            <w:tcBorders>
              <w:top w:val="single" w:color="BDC3C7" w:sz="1"/>
              <w:left w:val="single" w:color="BDC3C7" w:sz="1"/>
              <w:bottom w:val="single" w:color="BDC3C7" w:sz="1"/>
              <w:right w:val="single" w:color="BDC3C7" w:sz="1"/>
            </w:tcBorders>
            <w:shd w:fill="E1BEE7" w:color="auto" w:val="clear"/>
            <w:tcMar>
              <w:top w:type="dxa" w:w="80"/>
              <w:left w:type="dxa" w:w="120"/>
              <w:bottom w:type="dxa" w:w="80"/>
              <w:right w:type="dxa" w:w="120"/>
            </w:tcMar>
          </w:tcPr>
          <w:p>
            <w:r>
              <w:rPr>
                <w:rFonts w:ascii="Arial" w:cs="Arial" w:eastAsia="Arial" w:hAnsi="Arial"/>
                <w:b/>
                <w:bCs/>
                <w:color w:val="333333"/>
                <w:sz w:val="20"/>
                <w:szCs w:val="20"/>
              </w:rPr>
              <w:t xml:space="preserve">New Pages Required</w:t>
            </w:r>
          </w:p>
        </w:tc>
        <w:tc>
          <w:tcPr>
            <w:tcW w:type="dxa" w:w="2000"/>
            <w:tcBorders>
              <w:top w:val="single" w:color="BDC3C7" w:sz="1"/>
              <w:left w:val="single" w:color="BDC3C7" w:sz="1"/>
              <w:bottom w:val="single" w:color="BDC3C7" w:sz="1"/>
              <w:right w:val="single" w:color="BDC3C7" w:sz="1"/>
            </w:tcBorders>
            <w:shd w:fill="E1BEE7" w:color="auto" w:val="clear"/>
            <w:tcMar>
              <w:top w:type="dxa" w:w="80"/>
              <w:left w:type="dxa" w:w="120"/>
              <w:bottom w:type="dxa" w:w="80"/>
              <w:right w:type="dxa" w:w="120"/>
            </w:tcMar>
          </w:tcPr>
          <w:p>
            <w:r>
              <w:rPr>
                <w:rFonts w:ascii="Arial" w:cs="Arial" w:eastAsia="Arial" w:hAnsi="Arial"/>
                <w:color w:val="333333"/>
                <w:sz w:val="20"/>
                <w:szCs w:val="20"/>
              </w:rPr>
              <w:t xml:space="preserve">33</w:t>
            </w:r>
          </w:p>
        </w:tc>
        <w:tc>
          <w:tcPr>
            <w:tcW w:type="dxa" w:w="3360"/>
            <w:tcBorders>
              <w:top w:val="single" w:color="BDC3C7" w:sz="1"/>
              <w:left w:val="single" w:color="BDC3C7" w:sz="1"/>
              <w:bottom w:val="single" w:color="BDC3C7" w:sz="1"/>
              <w:right w:val="single" w:color="BDC3C7" w:sz="1"/>
            </w:tcBorders>
            <w:shd w:fill="E1BEE7" w:color="auto" w:val="clear"/>
            <w:tcMar>
              <w:top w:type="dxa" w:w="80"/>
              <w:left w:type="dxa" w:w="120"/>
              <w:bottom w:type="dxa" w:w="80"/>
              <w:right w:type="dxa" w:w="120"/>
            </w:tcMar>
          </w:tcPr>
          <w:p>
            <w:r>
              <w:rPr>
                <w:rFonts w:ascii="Arial" w:cs="Arial" w:eastAsia="Arial" w:hAnsi="Arial"/>
                <w:color w:val="333333"/>
                <w:sz w:val="20"/>
                <w:szCs w:val="20"/>
              </w:rPr>
              <w:t xml:space="preserve">Pages with no existing equivalent</w:t>
            </w:r>
          </w:p>
        </w:tc>
      </w:tr>
      <w:tr>
        <w:tc>
          <w:tcPr>
            <w:tcW w:type="dxa" w:w="40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b/>
                <w:bCs/>
                <w:color w:val="333333"/>
                <w:sz w:val="20"/>
                <w:szCs w:val="20"/>
              </w:rPr>
              <w:t xml:space="preserve">Cross-Pillar References</w:t>
            </w:r>
          </w:p>
        </w:tc>
        <w:tc>
          <w:tcPr>
            <w:tcW w:type="dxa" w:w="20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14</w:t>
            </w:r>
          </w:p>
        </w:tc>
        <w:tc>
          <w:tcPr>
            <w:tcW w:type="dxa" w:w="336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Pages linked from multiple pillars</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Redirect Rules (individual)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117</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Plus 4 pattern-based bulk rules</w:t>
            </w:r>
          </w:p>
        </w:tc>
      </w:tr>
      <w:tr>
        <w:tc>
          <w:tcPr>
            <w:tcW w:type="dxa" w:w="4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FAQ Items Distributed</w:t>
            </w:r>
          </w:p>
        </w:tc>
        <w:tc>
          <w:tcPr>
            <w:tcW w:type="dxa" w:w="2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188</w:t>
            </w:r>
          </w:p>
        </w:tc>
        <w:tc>
          <w:tcPr>
            <w:tcW w:type="dxa" w:w="33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Assigned to pillar/cluster FAQ sections</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Legal References Integrated</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18</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NRS statutes and case law → clusters</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3. Content Disposition Decisions</w:t>
      </w:r>
    </w:p>
    <w:p>
      <w:pPr>
        <w:spacing w:after="120" w:line="276"/>
      </w:pPr>
      <w:r>
        <w:rPr>
          <w:rFonts w:ascii="Arial" w:cs="Arial" w:eastAsia="Arial" w:hAnsi="Arial"/>
          <w:color w:val="333333"/>
          <w:sz w:val="21"/>
          <w:szCs w:val="21"/>
        </w:rPr>
        <w:t xml:space="preserve">Every URL has been classified into one of four categories. The disposition determines how much effort each URL requires during migration and what happens to the content.</w:t>
      </w:r>
    </w:p>
    <w:p>
      <w:pPr>
        <w:pStyle w:val="Heading2"/>
        <w:spacing w:after="160" w:before="280"/>
      </w:pPr>
      <w:r>
        <w:rPr>
          <w:rFonts w:ascii="Arial" w:cs="Arial" w:eastAsia="Arial" w:hAnsi="Arial"/>
          <w:b/>
          <w:bCs/>
          <w:color w:val="2E86C1"/>
          <w:sz w:val="26"/>
          <w:szCs w:val="26"/>
        </w:rPr>
        <w:t xml:space="preserve">3.1 Preserve (~30 URLs, 9%)</w:t>
      </w:r>
    </w:p>
    <w:p>
      <w:pPr>
        <w:spacing w:after="120" w:line="276"/>
      </w:pPr>
      <w:r>
        <w:rPr>
          <w:rFonts w:ascii="Arial" w:cs="Arial" w:eastAsia="Arial" w:hAnsi="Arial"/>
          <w:color w:val="333333"/>
          <w:sz w:val="21"/>
          <w:szCs w:val="21"/>
        </w:rPr>
        <w:t xml:space="preserve">Content that migrates to the new architecture with minimal changes. These are pages where the existing content is solid and the page concept carries forward directly: the homepage, About page, Contact page, Privacy Policy, core offshore formation packages (Nevis, BVI, Panama, Hong Kong, Bahamas Trust), IRS reporting pages, and the order/checkout flow.</w:t>
      </w:r>
    </w:p>
    <w:p>
      <w:pPr>
        <w:spacing w:after="40" w:before="40"/>
      </w:pPr>
    </w:p>
    <w:p>
      <w:pPr>
        <w:spacing w:after="120" w:line="276"/>
      </w:pPr>
      <w:r>
        <w:rPr>
          <w:rFonts w:ascii="Arial" w:cs="Arial" w:eastAsia="Arial" w:hAnsi="Arial"/>
          <w:b/>
          <w:bCs/>
          <w:color w:val="333333"/>
          <w:sz w:val="21"/>
          <w:szCs w:val="21"/>
        </w:rPr>
        <w:t xml:space="preserve">What “preserve” means in practice: </w:t>
      </w:r>
      <w:r>
        <w:rPr>
          <w:rFonts w:ascii="Arial" w:cs="Arial" w:eastAsia="Arial" w:hAnsi="Arial"/>
          <w:color w:val="333333"/>
          <w:sz w:val="21"/>
          <w:szCs w:val="21"/>
        </w:rPr>
        <w:t xml:space="preserve">the page keeps its essential content and purpose, but receives new design templates, updated branding, fresh SEO metadata, and integration into the pillar/cluster navigation. Even preserved pages will look completely different in the redesign.</w:t>
      </w:r>
    </w:p>
    <w:p>
      <w:pPr>
        <w:pStyle w:val="Heading2"/>
        <w:spacing w:after="160" w:before="280"/>
      </w:pPr>
      <w:r>
        <w:rPr>
          <w:rFonts w:ascii="Arial" w:cs="Arial" w:eastAsia="Arial" w:hAnsi="Arial"/>
          <w:b/>
          <w:bCs/>
          <w:color w:val="2E86C1"/>
          <w:sz w:val="26"/>
          <w:szCs w:val="26"/>
        </w:rPr>
        <w:t xml:space="preserve">3.2 Enhance (~25 URLs, 8%)</w:t>
      </w:r>
    </w:p>
    <w:p>
      <w:pPr>
        <w:spacing w:after="120" w:line="276"/>
      </w:pPr>
      <w:r>
        <w:rPr>
          <w:rFonts w:ascii="Arial" w:cs="Arial" w:eastAsia="Arial" w:hAnsi="Arial"/>
          <w:color w:val="333333"/>
          <w:sz w:val="21"/>
          <w:szCs w:val="21"/>
        </w:rPr>
        <w:t xml:space="preserve">Pages that exist today but need significant expansion and restructuring for the new architecture. This is the highest-effort category per page and includes the most commercially important content on the site:</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Package pages </w:t>
      </w:r>
      <w:r>
        <w:rPr>
          <w:rFonts w:ascii="Arial" w:cs="Arial" w:eastAsia="Arial" w:hAnsi="Arial"/>
          <w:color w:val="333333"/>
          <w:sz w:val="21"/>
          <w:szCs w:val="21"/>
        </w:rPr>
        <w:t xml:space="preserve">(Gold, Silver, Bronze for WY and NV, CA Private, FL Private, Shelf Companies) — each gets progressive disclosure design, 3-tier comparison, add-on configurator, and LLC/Corp toggle.</w:t>
      </w:r>
    </w:p>
    <w:p>
      <w:pPr>
        <w:pStyle w:val="ListParagraph"/>
        <w:numPr>
          <w:ilvl w:val="0"/>
          <w:numId w:val="2"/>
        </w:numPr>
        <w:spacing w:after="60" w:line="276"/>
      </w:pPr>
      <w:r>
        <w:rPr>
          <w:rFonts w:ascii="Arial" w:cs="Arial" w:eastAsia="Arial" w:hAnsi="Arial"/>
          <w:b/>
          <w:bCs/>
          <w:color w:val="333333"/>
          <w:sz w:val="21"/>
          <w:szCs w:val="21"/>
        </w:rPr>
        <w:t xml:space="preserve">Pillar and cluster pages </w:t>
      </w:r>
      <w:r>
        <w:rPr>
          <w:rFonts w:ascii="Arial" w:cs="Arial" w:eastAsia="Arial" w:hAnsi="Arial"/>
          <w:color w:val="333333"/>
          <w:sz w:val="21"/>
          <w:szCs w:val="21"/>
        </w:rPr>
        <w:t xml:space="preserve">that have a partial equivalent today — Asset Protection main page becomes the full AP pillar hub; Privacy Services becomes the Nominee Services cluster; Registered Agent expands into a Compliance cluster.</w:t>
      </w:r>
    </w:p>
    <w:p>
      <w:pPr>
        <w:pStyle w:val="ListParagraph"/>
        <w:numPr>
          <w:ilvl w:val="0"/>
          <w:numId w:val="2"/>
        </w:numPr>
        <w:spacing w:after="60" w:line="276"/>
      </w:pPr>
      <w:r>
        <w:rPr>
          <w:rFonts w:ascii="Arial" w:cs="Arial" w:eastAsia="Arial" w:hAnsi="Arial"/>
          <w:b/>
          <w:bCs/>
          <w:color w:val="333333"/>
          <w:sz w:val="21"/>
          <w:szCs w:val="21"/>
        </w:rPr>
        <w:t xml:space="preserve">Comparison hub </w:t>
      </w:r>
      <w:r>
        <w:rPr>
          <w:rFonts w:ascii="Arial" w:cs="Arial" w:eastAsia="Arial" w:hAnsi="Arial"/>
          <w:color w:val="333333"/>
          <w:sz w:val="21"/>
          <w:szCs w:val="21"/>
        </w:rPr>
        <w:t xml:space="preserve">— the existing Compare &amp; Order page becomes the foundation for the new pillar-specific comparison pages.</w:t>
      </w:r>
    </w:p>
    <w:p>
      <w:pPr>
        <w:pStyle w:val="ListParagraph"/>
        <w:numPr>
          <w:ilvl w:val="0"/>
          <w:numId w:val="2"/>
        </w:numPr>
        <w:spacing w:after="60" w:line="276"/>
      </w:pPr>
      <w:r>
        <w:rPr>
          <w:rFonts w:ascii="Arial" w:cs="Arial" w:eastAsia="Arial" w:hAnsi="Arial"/>
          <w:b/>
          <w:bCs/>
          <w:color w:val="333333"/>
          <w:sz w:val="21"/>
          <w:szCs w:val="21"/>
        </w:rPr>
        <w:t xml:space="preserve">Nevada Incorporation </w:t>
      </w:r>
      <w:r>
        <w:rPr>
          <w:rFonts w:ascii="Arial" w:cs="Arial" w:eastAsia="Arial" w:hAnsi="Arial"/>
          <w:color w:val="333333"/>
          <w:sz w:val="21"/>
          <w:szCs w:val="21"/>
        </w:rPr>
        <w:t xml:space="preserve">— the current single page splits into dedicated Nevada LLC and Nevada Corporation cluster pages under Formation.</w:t>
      </w:r>
    </w:p>
    <w:p>
      <w:pPr>
        <w:pStyle w:val="Heading2"/>
        <w:spacing w:after="160" w:before="280"/>
      </w:pPr>
      <w:r>
        <w:rPr>
          <w:rFonts w:ascii="Arial" w:cs="Arial" w:eastAsia="Arial" w:hAnsi="Arial"/>
          <w:b/>
          <w:bCs/>
          <w:color w:val="2E86C1"/>
          <w:sz w:val="26"/>
          <w:szCs w:val="26"/>
        </w:rPr>
        <w:t xml:space="preserve">3.3 Consolidate (~249 URLs, 76%)</w:t>
      </w:r>
    </w:p>
    <w:p>
      <w:pPr>
        <w:spacing w:after="120" w:line="276"/>
      </w:pPr>
      <w:r>
        <w:rPr>
          <w:rFonts w:ascii="Arial" w:cs="Arial" w:eastAsia="Arial" w:hAnsi="Arial"/>
          <w:color w:val="333333"/>
          <w:sz w:val="21"/>
          <w:szCs w:val="21"/>
        </w:rPr>
        <w:t xml:space="preserve">The vast majority of the site’s URL volume falls into this category. Content merges into parent pages rather than retaining standalone URLs. The breakdown: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Group</w:t>
            </w:r>
          </w:p>
        </w:tc>
        <w:tc>
          <w:tcPr>
            <w:tcW w:type="dxa" w:w="12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URLs</w:t>
            </w:r>
          </w:p>
        </w:tc>
        <w:tc>
          <w:tcPr>
            <w:tcW w:type="dxa" w:w="51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Consolidation Target</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LC FAQ Item Pages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188</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Each item reviewed and assigned to the most relevant pillar or cluster page as inline FAQ content</w:t>
            </w:r>
          </w:p>
        </w:tc>
      </w:tr>
      <w:tr>
        <w:tc>
          <w:tcPr>
            <w:tcW w:type="dxa" w:w="3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LC Category Pages</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5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Category structure replaced by pillar/cluster hierarchy; each category maps to relevant pillar</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LC Reference Pages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18</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NRS statutes and case law integrated as supporting references within AP, Formation, and Privacy clusters</w:t>
            </w:r>
          </w:p>
        </w:tc>
      </w:tr>
      <w:tr>
        <w:tc>
          <w:tcPr>
            <w:tcW w:type="dxa" w:w="3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Service Add-On Pages</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5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Inline add-on options within package pages (EIN, county license, mail forwarding, phone, etc.)</w:t>
            </w:r>
          </w:p>
        </w:tc>
      </w:tr>
      <w:tr>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Offshore Popups/Details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51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Popup content becomes expandable sections within relevant offshore package pages</w:t>
            </w:r>
          </w:p>
        </w:tc>
      </w:tr>
      <w:tr>
        <w:tc>
          <w:tcPr>
            <w:tcW w:type="dxa" w:w="30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Virtual Office Pages</w:t>
            </w:r>
          </w:p>
        </w:tc>
        <w:tc>
          <w:tcPr>
            <w:tcW w:type="dxa" w:w="12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1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All virtual office options consolidate as add-on tiers within NV package pages</w:t>
            </w:r>
          </w:p>
        </w:tc>
      </w:tr>
    </w:tbl>
    <w:p>
      <w:pPr>
        <w:spacing w:after="60" w:before="60"/>
      </w:pPr>
    </w:p>
    <w:p>
      <w:pPr>
        <w:spacing w:after="120" w:line="276"/>
      </w:pPr>
      <w:r>
        <w:rPr>
          <w:rFonts w:ascii="Arial" w:cs="Arial" w:eastAsia="Arial" w:hAnsi="Arial"/>
          <w:b/>
          <w:bCs/>
          <w:color w:val="333333"/>
          <w:sz w:val="21"/>
          <w:szCs w:val="21"/>
        </w:rPr>
        <w:t xml:space="preserve">No content is being lost. </w:t>
      </w:r>
      <w:r>
        <w:rPr>
          <w:rFonts w:ascii="Arial" w:cs="Arial" w:eastAsia="Arial" w:hAnsi="Arial"/>
          <w:color w:val="333333"/>
          <w:sz w:val="21"/>
          <w:szCs w:val="21"/>
        </w:rPr>
        <w:t xml:space="preserve">Every consolidated page has an explicit destination. The information lives on — it just lives in a more useful location. An FAQ item about charging order protection, for example, becomes a contextual answer on the Charging Order Protection cluster page instead of being buried in Learning Center category 27, item 42.</w:t>
      </w:r>
    </w:p>
    <w:p>
      <w:pPr>
        <w:pStyle w:val="Heading2"/>
        <w:spacing w:after="160" w:before="280"/>
      </w:pPr>
      <w:r>
        <w:rPr>
          <w:rFonts w:ascii="Arial" w:cs="Arial" w:eastAsia="Arial" w:hAnsi="Arial"/>
          <w:b/>
          <w:bCs/>
          <w:color w:val="2E86C1"/>
          <w:sz w:val="26"/>
          <w:szCs w:val="26"/>
        </w:rPr>
        <w:t xml:space="preserve">3.4 Retire (~22 URLs, 7%)</w:t>
      </w:r>
    </w:p>
    <w:p>
      <w:pPr>
        <w:spacing w:after="120" w:line="276"/>
      </w:pPr>
      <w:r>
        <w:rPr>
          <w:rFonts w:ascii="Arial" w:cs="Arial" w:eastAsia="Arial" w:hAnsi="Arial"/>
          <w:color w:val="333333"/>
          <w:sz w:val="21"/>
          <w:szCs w:val="21"/>
        </w:rPr>
        <w:t xml:space="preserve">Pages that receive a 301 redirect but no content migration. The content is either outdated, redundant, or serves no purpose in the new architecture:</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10 SB60 legacy pages </w:t>
      </w:r>
      <w:r>
        <w:rPr>
          <w:rFonts w:ascii="Arial" w:cs="Arial" w:eastAsia="Arial" w:hAnsi="Arial"/>
          <w:color w:val="333333"/>
          <w:sz w:val="21"/>
          <w:szCs w:val="21"/>
        </w:rPr>
        <w:t xml:space="preserve">— outdated 2013 Nevada legislation changes with no current relevance.</w:t>
      </w:r>
    </w:p>
    <w:p>
      <w:pPr>
        <w:pStyle w:val="ListParagraph"/>
        <w:numPr>
          <w:ilvl w:val="0"/>
          <w:numId w:val="2"/>
        </w:numPr>
        <w:spacing w:after="60" w:line="276"/>
      </w:pPr>
      <w:r>
        <w:rPr>
          <w:rFonts w:ascii="Arial" w:cs="Arial" w:eastAsia="Arial" w:hAnsi="Arial"/>
          <w:b/>
          <w:bCs/>
          <w:color w:val="333333"/>
          <w:sz w:val="21"/>
          <w:szCs w:val="21"/>
        </w:rPr>
        <w:t xml:space="preserve">6 broken 404 pages </w:t>
      </w:r>
      <w:r>
        <w:rPr>
          <w:rFonts w:ascii="Arial" w:cs="Arial" w:eastAsia="Arial" w:hAnsi="Arial"/>
          <w:color w:val="333333"/>
          <w:sz w:val="21"/>
          <w:szCs w:val="21"/>
        </w:rPr>
        <w:t xml:space="preserve">— internal link targets that no longer exist. Source links corrected.</w:t>
      </w:r>
    </w:p>
    <w:p>
      <w:pPr>
        <w:pStyle w:val="ListParagraph"/>
        <w:numPr>
          <w:ilvl w:val="0"/>
          <w:numId w:val="2"/>
        </w:numPr>
        <w:spacing w:after="60" w:line="276"/>
      </w:pPr>
      <w:r>
        <w:rPr>
          <w:rFonts w:ascii="Arial" w:cs="Arial" w:eastAsia="Arial" w:hAnsi="Arial"/>
          <w:b/>
          <w:bCs/>
          <w:color w:val="333333"/>
          <w:sz w:val="21"/>
          <w:szCs w:val="21"/>
        </w:rPr>
        <w:t xml:space="preserve">Services main page </w:t>
      </w:r>
      <w:r>
        <w:rPr>
          <w:rFonts w:ascii="Arial" w:cs="Arial" w:eastAsia="Arial" w:hAnsi="Arial"/>
          <w:color w:val="333333"/>
          <w:sz w:val="21"/>
          <w:szCs w:val="21"/>
        </w:rPr>
        <w:t xml:space="preserve">— replaced by intent-first pillar navigation on the homepage.</w:t>
      </w:r>
    </w:p>
    <w:p>
      <w:pPr>
        <w:pStyle w:val="ListParagraph"/>
        <w:numPr>
          <w:ilvl w:val="0"/>
          <w:numId w:val="2"/>
        </w:numPr>
        <w:spacing w:after="60" w:line="276"/>
      </w:pPr>
      <w:r>
        <w:rPr>
          <w:rFonts w:ascii="Arial" w:cs="Arial" w:eastAsia="Arial" w:hAnsi="Arial"/>
          <w:b/>
          <w:bCs/>
          <w:color w:val="333333"/>
          <w:sz w:val="21"/>
          <w:szCs w:val="21"/>
        </w:rPr>
        <w:t xml:space="preserve">Send-to-Friend, Survey Form </w:t>
      </w:r>
      <w:r>
        <w:rPr>
          <w:rFonts w:ascii="Arial" w:cs="Arial" w:eastAsia="Arial" w:hAnsi="Arial"/>
          <w:color w:val="333333"/>
          <w:sz w:val="21"/>
          <w:szCs w:val="21"/>
        </w:rPr>
        <w:t xml:space="preserve">— obsolete utility pages.</w:t>
      </w:r>
    </w:p>
    <w:p>
      <w:pPr>
        <w:pStyle w:val="Heading1"/>
        <w:pBdr>
          <w:bottom w:val="single" w:color="2E86C1" w:sz="3" w:space="4"/>
        </w:pBdr>
        <w:spacing w:after="200" w:before="360"/>
      </w:pPr>
      <w:r>
        <w:rPr>
          <w:rFonts w:ascii="Arial" w:cs="Arial" w:eastAsia="Arial" w:hAnsi="Arial"/>
          <w:b/>
          <w:bCs/>
          <w:color w:val="1B4F72"/>
          <w:sz w:val="32"/>
          <w:szCs w:val="32"/>
        </w:rPr>
        <w:t xml:space="preserve">4. Gap Analysis — 33 New Pages</w:t>
      </w:r>
    </w:p>
    <w:p>
      <w:pPr>
        <w:spacing w:after="120" w:line="276"/>
      </w:pPr>
      <w:r>
        <w:rPr>
          <w:rFonts w:ascii="Arial" w:cs="Arial" w:eastAsia="Arial" w:hAnsi="Arial"/>
          <w:color w:val="333333"/>
          <w:sz w:val="21"/>
          <w:szCs w:val="21"/>
        </w:rPr>
        <w:t xml:space="preserve">The migration map identifies 33 pages in the new architecture that have no existing content equivalent and must be created from scratch. These are not surprises — the pillar/cluster strategy was always designed to create new educational hubs that the current site lacks. The gap analysis confirms exactly how many new pages are needed and what content sources exist to inform them.</w:t>
      </w:r>
    </w:p>
    <w:p>
      <w:pPr>
        <w:spacing w:after="60" w:before="60"/>
      </w:pPr>
    </w:p>
    <w:p>
      <w:pPr>
        <w:pStyle w:val="Heading2"/>
        <w:spacing w:after="160" w:before="280"/>
      </w:pPr>
      <w:r>
        <w:rPr>
          <w:rFonts w:ascii="Arial" w:cs="Arial" w:eastAsia="Arial" w:hAnsi="Arial"/>
          <w:b/>
          <w:bCs/>
          <w:color w:val="2E86C1"/>
          <w:sz w:val="26"/>
          <w:szCs w:val="26"/>
        </w:rPr>
        <w:t xml:space="preserve">4.1 New Pages by Pillar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400"/>
        <w:gridCol w:w="3560"/>
      </w:tblGrid>
      <w:tr>
        <w:tc>
          <w:tcPr>
            <w:tcW w:type="dxa" w:w="24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1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New</w:t>
            </w:r>
          </w:p>
        </w:tc>
        <w:tc>
          <w:tcPr>
            <w:tcW w:type="dxa" w:w="24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P1 Launch</w:t>
            </w:r>
          </w:p>
        </w:tc>
        <w:tc>
          <w:tcPr>
            <w:tcW w:type="dxa" w:w="35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P2 Expansion</w:t>
            </w:r>
          </w:p>
        </w:tc>
      </w:tr>
      <w:tr>
        <w:tc>
          <w:tcPr>
            <w:tcW w:type="dxa" w:w="2400"/>
            <w:tcBorders>
              <w:top w:val="single" w:color="BDC3C7" w:sz="1"/>
              <w:left w:val="single" w:color="BDC3C7" w:sz="1"/>
              <w:bottom w:val="single" w:color="BDC3C7" w:sz="1"/>
              <w:right w:val="single" w:color="BDC3C7" w:sz="1"/>
            </w:tcBorders>
            <w:shd w:fill="E8EAF6" w:color="auto" w:val="clear"/>
            <w:tcMar>
              <w:top w:type="dxa" w:w="80"/>
              <w:left w:type="dxa" w:w="120"/>
              <w:bottom w:type="dxa" w:w="80"/>
              <w:right w:type="dxa" w:w="120"/>
            </w:tcMar>
          </w:tcPr>
          <w:p>
            <w:r>
              <w:rPr>
                <w:rFonts w:ascii="Arial" w:cs="Arial" w:eastAsia="Arial" w:hAnsi="Arial"/>
                <w:b/>
                <w:bCs/>
                <w:color w:val="333333"/>
                <w:sz w:val="20"/>
                <w:szCs w:val="20"/>
              </w:rPr>
              <w:t xml:space="preserve">Privacy</w:t>
            </w:r>
          </w:p>
        </w:tc>
        <w:tc>
          <w:tcPr>
            <w:tcW w:type="dxa" w:w="1000"/>
            <w:tcBorders>
              <w:top w:val="single" w:color="BDC3C7" w:sz="1"/>
              <w:left w:val="single" w:color="BDC3C7" w:sz="1"/>
              <w:bottom w:val="single" w:color="BDC3C7" w:sz="1"/>
              <w:right w:val="single" w:color="BDC3C7" w:sz="1"/>
            </w:tcBorders>
            <w:shd w:fill="E8EAF6" w:color="auto"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BDC3C7" w:sz="1"/>
              <w:left w:val="single" w:color="BDC3C7" w:sz="1"/>
              <w:bottom w:val="single" w:color="BDC3C7" w:sz="1"/>
              <w:right w:val="single" w:color="BDC3C7" w:sz="1"/>
            </w:tcBorders>
            <w:shd w:fill="E8EAF6" w:color="auto" w:val="clear"/>
            <w:tcMar>
              <w:top w:type="dxa" w:w="80"/>
              <w:left w:type="dxa" w:w="120"/>
              <w:bottom w:type="dxa" w:w="80"/>
              <w:right w:type="dxa" w:w="120"/>
            </w:tcMar>
          </w:tcPr>
          <w:p>
            <w:r>
              <w:rPr>
                <w:rFonts w:ascii="Arial" w:cs="Arial" w:eastAsia="Arial" w:hAnsi="Arial"/>
                <w:color w:val="333333"/>
                <w:sz w:val="20"/>
                <w:szCs w:val="20"/>
              </w:rPr>
              <w:t xml:space="preserve">Privacy pillar, Anon LLC, WY/NV Privacy, WY vs NV comparison</w:t>
            </w:r>
          </w:p>
        </w:tc>
        <w:tc>
          <w:tcPr>
            <w:tcW w:type="dxa" w:w="3560"/>
            <w:tcBorders>
              <w:top w:val="single" w:color="BDC3C7" w:sz="1"/>
              <w:left w:val="single" w:color="BDC3C7" w:sz="1"/>
              <w:bottom w:val="single" w:color="BDC3C7" w:sz="1"/>
              <w:right w:val="single" w:color="BDC3C7" w:sz="1"/>
            </w:tcBorders>
            <w:shd w:fill="E8EAF6" w:color="auto" w:val="clear"/>
            <w:tcMar>
              <w:top w:type="dxa" w:w="80"/>
              <w:left w:type="dxa" w:w="120"/>
              <w:bottom w:type="dxa" w:w="80"/>
              <w:right w:type="dxa" w:w="120"/>
            </w:tcMar>
          </w:tcPr>
          <w:p>
            <w:r>
              <w:rPr>
                <w:rFonts w:ascii="Arial" w:cs="Arial" w:eastAsia="Arial" w:hAnsi="Arial"/>
                <w:color w:val="333333"/>
                <w:sz w:val="20"/>
                <w:szCs w:val="20"/>
              </w:rPr>
              <w:t xml:space="preserve">Anon Corp, BOI Reporting, Best State for Privacy</w:t>
            </w:r>
          </w:p>
        </w:tc>
      </w:tr>
      <w:tr>
        <w:tc>
          <w:tcPr>
            <w:tcW w:type="dxa" w:w="2400"/>
            <w:tcBorders>
              <w:top w:val="single" w:color="BDC3C7" w:sz="1"/>
              <w:left w:val="single" w:color="BDC3C7" w:sz="1"/>
              <w:bottom w:val="single" w:color="BDC3C7" w:sz="1"/>
              <w:right w:val="single" w:color="BDC3C7" w:sz="1"/>
            </w:tcBorders>
            <w:shd w:fill="FFF3E0" w:color="auto" w:val="clear"/>
            <w:tcMar>
              <w:top w:type="dxa" w:w="80"/>
              <w:left w:type="dxa" w:w="120"/>
              <w:bottom w:type="dxa" w:w="80"/>
              <w:right w:type="dxa" w:w="120"/>
            </w:tcMar>
          </w:tcPr>
          <w:p>
            <w:r>
              <w:rPr>
                <w:rFonts w:ascii="Arial" w:cs="Arial" w:eastAsia="Arial" w:hAnsi="Arial"/>
                <w:b/>
                <w:bCs/>
                <w:color w:val="333333"/>
                <w:sz w:val="20"/>
                <w:szCs w:val="20"/>
              </w:rPr>
              <w:t xml:space="preserve">Asset Protection</w:t>
            </w:r>
          </w:p>
        </w:tc>
        <w:tc>
          <w:tcPr>
            <w:tcW w:type="dxa" w:w="1000"/>
            <w:tcBorders>
              <w:top w:val="single" w:color="BDC3C7" w:sz="1"/>
              <w:left w:val="single" w:color="BDC3C7" w:sz="1"/>
              <w:bottom w:val="single" w:color="BDC3C7" w:sz="1"/>
              <w:right w:val="single" w:color="BDC3C7" w:sz="1"/>
            </w:tcBorders>
            <w:shd w:fill="FFF3E0" w:color="auto"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BDC3C7" w:sz="1"/>
              <w:left w:val="single" w:color="BDC3C7" w:sz="1"/>
              <w:bottom w:val="single" w:color="BDC3C7" w:sz="1"/>
              <w:right w:val="single" w:color="BDC3C7" w:sz="1"/>
            </w:tcBorders>
            <w:shd w:fill="FFF3E0" w:color="auto" w:val="clear"/>
            <w:tcMar>
              <w:top w:type="dxa" w:w="80"/>
              <w:left w:type="dxa" w:w="120"/>
              <w:bottom w:type="dxa" w:w="80"/>
              <w:right w:type="dxa" w:w="120"/>
            </w:tcMar>
          </w:tcPr>
          <w:p>
            <w:r>
              <w:rPr>
                <w:rFonts w:ascii="Arial" w:cs="Arial" w:eastAsia="Arial" w:hAnsi="Arial"/>
                <w:color w:val="333333"/>
                <w:sz w:val="20"/>
                <w:szCs w:val="20"/>
              </w:rPr>
              <w:t xml:space="preserve">Charging Order Protection</w:t>
            </w:r>
          </w:p>
        </w:tc>
        <w:tc>
          <w:tcPr>
            <w:tcW w:type="dxa" w:w="3560"/>
            <w:tcBorders>
              <w:top w:val="single" w:color="BDC3C7" w:sz="1"/>
              <w:left w:val="single" w:color="BDC3C7" w:sz="1"/>
              <w:bottom w:val="single" w:color="BDC3C7" w:sz="1"/>
              <w:right w:val="single" w:color="BDC3C7" w:sz="1"/>
            </w:tcBorders>
            <w:shd w:fill="FFF3E0" w:color="auto" w:val="clear"/>
            <w:tcMar>
              <w:top w:type="dxa" w:w="80"/>
              <w:left w:type="dxa" w:w="120"/>
              <w:bottom w:type="dxa" w:w="80"/>
              <w:right w:type="dxa" w:w="120"/>
            </w:tcMar>
          </w:tcPr>
          <w:p>
            <w:r>
              <w:rPr>
                <w:rFonts w:ascii="Arial" w:cs="Arial" w:eastAsia="Arial" w:hAnsi="Arial"/>
                <w:color w:val="333333"/>
                <w:sz w:val="20"/>
                <w:szCs w:val="20"/>
              </w:rPr>
              <w:t xml:space="preserve">WY AP, Best State for AP, WY vs NV AP</w:t>
            </w:r>
          </w:p>
        </w:tc>
      </w:tr>
      <w:tr>
        <w:tc>
          <w:tcPr>
            <w:tcW w:type="dxa" w:w="2400"/>
            <w:tcBorders>
              <w:top w:val="single" w:color="BDC3C7" w:sz="1"/>
              <w:left w:val="single" w:color="BDC3C7" w:sz="1"/>
              <w:bottom w:val="single" w:color="BDC3C7" w:sz="1"/>
              <w:right w:val="single" w:color="BDC3C7" w:sz="1"/>
            </w:tcBorders>
            <w:shd w:fill="E0F2F1" w:color="auto" w:val="clear"/>
            <w:tcMar>
              <w:top w:type="dxa" w:w="80"/>
              <w:left w:type="dxa" w:w="120"/>
              <w:bottom w:type="dxa" w:w="80"/>
              <w:right w:type="dxa" w:w="120"/>
            </w:tcMar>
          </w:tcPr>
          <w:p>
            <w:r>
              <w:rPr>
                <w:rFonts w:ascii="Arial" w:cs="Arial" w:eastAsia="Arial" w:hAnsi="Arial"/>
                <w:b/>
                <w:bCs/>
                <w:color w:val="333333"/>
                <w:sz w:val="20"/>
                <w:szCs w:val="20"/>
              </w:rPr>
              <w:t xml:space="preserve">Formation</w:t>
            </w:r>
          </w:p>
        </w:tc>
        <w:tc>
          <w:tcPr>
            <w:tcW w:type="dxa" w:w="1000"/>
            <w:tcBorders>
              <w:top w:val="single" w:color="BDC3C7" w:sz="1"/>
              <w:left w:val="single" w:color="BDC3C7" w:sz="1"/>
              <w:bottom w:val="single" w:color="BDC3C7" w:sz="1"/>
              <w:right w:val="single" w:color="BDC3C7" w:sz="1"/>
            </w:tcBorders>
            <w:shd w:fill="E0F2F1" w:color="auto"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BDC3C7" w:sz="1"/>
              <w:left w:val="single" w:color="BDC3C7" w:sz="1"/>
              <w:bottom w:val="single" w:color="BDC3C7" w:sz="1"/>
              <w:right w:val="single" w:color="BDC3C7" w:sz="1"/>
            </w:tcBorders>
            <w:shd w:fill="E0F2F1" w:color="auto" w:val="clear"/>
            <w:tcMar>
              <w:top w:type="dxa" w:w="80"/>
              <w:left w:type="dxa" w:w="120"/>
              <w:bottom w:type="dxa" w:w="80"/>
              <w:right w:type="dxa" w:w="120"/>
            </w:tcMar>
          </w:tcPr>
          <w:p>
            <w:r>
              <w:rPr>
                <w:rFonts w:ascii="Arial" w:cs="Arial" w:eastAsia="Arial" w:hAnsi="Arial"/>
                <w:color w:val="333333"/>
                <w:sz w:val="20"/>
                <w:szCs w:val="20"/>
              </w:rPr>
              <w:t xml:space="preserve">Formation pillar, WY/NV LLC, LLC vs Corp, WY vs NV</w:t>
            </w:r>
          </w:p>
        </w:tc>
        <w:tc>
          <w:tcPr>
            <w:tcW w:type="dxa" w:w="3560"/>
            <w:tcBorders>
              <w:top w:val="single" w:color="BDC3C7" w:sz="1"/>
              <w:left w:val="single" w:color="BDC3C7" w:sz="1"/>
              <w:bottom w:val="single" w:color="BDC3C7" w:sz="1"/>
              <w:right w:val="single" w:color="BDC3C7" w:sz="1"/>
            </w:tcBorders>
            <w:shd w:fill="E0F2F1" w:color="auto" w:val="clear"/>
            <w:tcMar>
              <w:top w:type="dxa" w:w="80"/>
              <w:left w:type="dxa" w:w="120"/>
              <w:bottom w:type="dxa" w:w="80"/>
              <w:right w:type="dxa" w:w="120"/>
            </w:tcMar>
          </w:tcPr>
          <w:p>
            <w:r>
              <w:rPr>
                <w:rFonts w:ascii="Arial" w:cs="Arial" w:eastAsia="Arial" w:hAnsi="Arial"/>
                <w:color w:val="333333"/>
                <w:sz w:val="20"/>
                <w:szCs w:val="20"/>
              </w:rPr>
              <w:t xml:space="preserve">WY/NV Corp, Shelf vs New</w:t>
            </w:r>
          </w:p>
        </w:tc>
      </w:tr>
      <w:tr>
        <w:tc>
          <w:tcPr>
            <w:tcW w:type="dxa" w:w="2400"/>
            <w:tcBorders>
              <w:top w:val="single" w:color="BDC3C7" w:sz="1"/>
              <w:left w:val="single" w:color="BDC3C7" w:sz="1"/>
              <w:bottom w:val="single" w:color="BDC3C7" w:sz="1"/>
              <w:right w:val="single" w:color="BDC3C7" w:sz="1"/>
            </w:tcBorders>
            <w:shd w:fill="FCE4EC" w:color="auto" w:val="clear"/>
            <w:tcMar>
              <w:top w:type="dxa" w:w="80"/>
              <w:left w:type="dxa" w:w="120"/>
              <w:bottom w:type="dxa" w:w="80"/>
              <w:right w:type="dxa" w:w="120"/>
            </w:tcMar>
          </w:tcPr>
          <w:p>
            <w:r>
              <w:rPr>
                <w:rFonts w:ascii="Arial" w:cs="Arial" w:eastAsia="Arial" w:hAnsi="Arial"/>
                <w:b/>
                <w:bCs/>
                <w:color w:val="333333"/>
                <w:sz w:val="20"/>
                <w:szCs w:val="20"/>
              </w:rPr>
              <w:t xml:space="preserve">Compliance</w:t>
            </w:r>
          </w:p>
        </w:tc>
        <w:tc>
          <w:tcPr>
            <w:tcW w:type="dxa" w:w="1000"/>
            <w:tcBorders>
              <w:top w:val="single" w:color="BDC3C7" w:sz="1"/>
              <w:left w:val="single" w:color="BDC3C7" w:sz="1"/>
              <w:bottom w:val="single" w:color="BDC3C7" w:sz="1"/>
              <w:right w:val="single" w:color="BDC3C7" w:sz="1"/>
            </w:tcBorders>
            <w:shd w:fill="FCE4EC" w:color="auto"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BDC3C7" w:sz="1"/>
              <w:left w:val="single" w:color="BDC3C7" w:sz="1"/>
              <w:bottom w:val="single" w:color="BDC3C7" w:sz="1"/>
              <w:right w:val="single" w:color="BDC3C7" w:sz="1"/>
            </w:tcBorders>
            <w:shd w:fill="FCE4EC" w:color="auto" w:val="clear"/>
            <w:tcMar>
              <w:top w:type="dxa" w:w="80"/>
              <w:left w:type="dxa" w:w="120"/>
              <w:bottom w:type="dxa" w:w="80"/>
              <w:right w:type="dxa" w:w="120"/>
            </w:tcMar>
          </w:tcPr>
          <w:p>
            <w:r>
              <w:rPr>
                <w:rFonts w:ascii="Arial" w:cs="Arial" w:eastAsia="Arial" w:hAnsi="Arial"/>
                <w:color w:val="333333"/>
                <w:sz w:val="20"/>
                <w:szCs w:val="20"/>
              </w:rPr>
              <w:t xml:space="preserve">Compliance pillar</w:t>
            </w:r>
          </w:p>
        </w:tc>
        <w:tc>
          <w:tcPr>
            <w:tcW w:type="dxa" w:w="3560"/>
            <w:tcBorders>
              <w:top w:val="single" w:color="BDC3C7" w:sz="1"/>
              <w:left w:val="single" w:color="BDC3C7" w:sz="1"/>
              <w:bottom w:val="single" w:color="BDC3C7" w:sz="1"/>
              <w:right w:val="single" w:color="BDC3C7" w:sz="1"/>
            </w:tcBorders>
            <w:shd w:fill="FCE4EC" w:color="auto" w:val="clear"/>
            <w:tcMar>
              <w:top w:type="dxa" w:w="80"/>
              <w:left w:type="dxa" w:w="120"/>
              <w:bottom w:type="dxa" w:w="80"/>
              <w:right w:type="dxa" w:w="120"/>
            </w:tcMar>
          </w:tcPr>
          <w:p>
            <w:r>
              <w:rPr>
                <w:rFonts w:ascii="Arial" w:cs="Arial" w:eastAsia="Arial" w:hAnsi="Arial"/>
                <w:color w:val="333333"/>
                <w:sz w:val="20"/>
                <w:szCs w:val="20"/>
              </w:rPr>
              <w:t xml:space="preserve">WY/NV Registered Agent, Foreign Reg, Domestication</w:t>
            </w:r>
          </w:p>
        </w:tc>
      </w:tr>
      <w:tr>
        <w:tc>
          <w:tcPr>
            <w:tcW w:type="dxa" w:w="24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b/>
                <w:bCs/>
                <w:color w:val="333333"/>
                <w:sz w:val="20"/>
                <w:szCs w:val="20"/>
              </w:rPr>
              <w:t xml:space="preserve">State Hubs</w:t>
            </w:r>
          </w:p>
        </w:tc>
        <w:tc>
          <w:tcPr>
            <w:tcW w:type="dxa" w:w="10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Wyoming Hub, Nevada Hub</w:t>
            </w:r>
          </w:p>
        </w:tc>
        <w:tc>
          <w:tcPr>
            <w:tcW w:type="dxa" w:w="356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California Hub, Florida Hub</w:t>
            </w:r>
          </w:p>
        </w:tc>
      </w:tr>
      <w:tr>
        <w:tc>
          <w:tcPr>
            <w:tcW w:type="dxa" w:w="2400"/>
            <w:tcBorders>
              <w:top w:val="single" w:color="BDC3C7" w:sz="1"/>
              <w:left w:val="single" w:color="BDC3C7" w:sz="1"/>
              <w:bottom w:val="single" w:color="BDC3C7" w:sz="1"/>
              <w:right w:val="single" w:color="BDC3C7" w:sz="1"/>
            </w:tcBorders>
            <w:shd w:fill="ECEFF1" w:color="auto" w:val="clear"/>
            <w:tcMar>
              <w:top w:type="dxa" w:w="80"/>
              <w:left w:type="dxa" w:w="120"/>
              <w:bottom w:type="dxa" w:w="80"/>
              <w:right w:type="dxa" w:w="120"/>
            </w:tcMar>
          </w:tcPr>
          <w:p>
            <w:r>
              <w:rPr>
                <w:rFonts w:ascii="Arial" w:cs="Arial" w:eastAsia="Arial" w:hAnsi="Arial"/>
                <w:b/>
                <w:bCs/>
                <w:color w:val="333333"/>
                <w:sz w:val="20"/>
                <w:szCs w:val="20"/>
              </w:rPr>
              <w:t xml:space="preserve">Utility</w:t>
            </w:r>
          </w:p>
        </w:tc>
        <w:tc>
          <w:tcPr>
            <w:tcW w:type="dxa" w:w="1000"/>
            <w:tcBorders>
              <w:top w:val="single" w:color="BDC3C7" w:sz="1"/>
              <w:left w:val="single" w:color="BDC3C7" w:sz="1"/>
              <w:bottom w:val="single" w:color="BDC3C7" w:sz="1"/>
              <w:right w:val="single" w:color="BDC3C7" w:sz="1"/>
            </w:tcBorders>
            <w:shd w:fill="ECEFF1" w:color="auto"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BDC3C7" w:sz="1"/>
              <w:left w:val="single" w:color="BDC3C7" w:sz="1"/>
              <w:bottom w:val="single" w:color="BDC3C7" w:sz="1"/>
              <w:right w:val="single" w:color="BDC3C7" w:sz="1"/>
            </w:tcBorders>
            <w:shd w:fill="ECEFF1" w:color="auto" w:val="clear"/>
            <w:tcMar>
              <w:top w:type="dxa" w:w="80"/>
              <w:left w:type="dxa" w:w="120"/>
              <w:bottom w:type="dxa" w:w="80"/>
              <w:right w:type="dxa" w:w="120"/>
            </w:tcMar>
          </w:tcPr>
          <w:p>
            <w:r>
              <w:rPr>
                <w:rFonts w:ascii="Arial" w:cs="Arial" w:eastAsia="Arial" w:hAnsi="Arial"/>
                <w:color w:val="333333"/>
                <w:sz w:val="20"/>
                <w:szCs w:val="20"/>
              </w:rPr>
              <w:t xml:space="preserve">FAQ Hub, Terms</w:t>
            </w:r>
          </w:p>
        </w:tc>
        <w:tc>
          <w:tcPr>
            <w:tcW w:type="dxa" w:w="3560"/>
            <w:tcBorders>
              <w:top w:val="single" w:color="BDC3C7" w:sz="1"/>
              <w:left w:val="single" w:color="BDC3C7" w:sz="1"/>
              <w:bottom w:val="single" w:color="BDC3C7" w:sz="1"/>
              <w:right w:val="single" w:color="BDC3C7" w:sz="1"/>
            </w:tcBorders>
            <w:shd w:fill="ECEFF1" w:color="auto" w:val="clear"/>
            <w:tcMar>
              <w:top w:type="dxa" w:w="80"/>
              <w:left w:type="dxa" w:w="120"/>
              <w:bottom w:type="dxa" w:w="80"/>
              <w:right w:type="dxa" w:w="120"/>
            </w:tcMar>
          </w:tcPr>
          <w:p>
            <w:r>
              <w:rPr>
                <w:rFonts w:ascii="Arial" w:cs="Arial" w:eastAsia="Arial" w:hAnsi="Arial"/>
                <w:color w:val="333333"/>
                <w:sz w:val="20"/>
                <w:szCs w:val="20"/>
              </w:rPr>
              <w:t xml:space="preserve">Blog, Client Login</w:t>
            </w:r>
          </w:p>
        </w:tc>
      </w:tr>
      <w:tr>
        <w:tc>
          <w:tcPr>
            <w:tcW w:type="dxa" w:w="240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Total</w:t>
            </w:r>
          </w:p>
        </w:tc>
        <w:tc>
          <w:tcPr>
            <w:tcW w:type="dxa" w:w="100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33</w:t>
            </w:r>
          </w:p>
        </w:tc>
        <w:tc>
          <w:tcPr>
            <w:tcW w:type="dxa" w:w="240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16 pages</w:t>
            </w:r>
          </w:p>
        </w:tc>
        <w:tc>
          <w:tcPr>
            <w:tcW w:type="dxa" w:w="3560"/>
            <w:tcBorders>
              <w:top w:val="single" w:color="BDC3C7" w:sz="1"/>
              <w:left w:val="single" w:color="BDC3C7" w:sz="1"/>
              <w:bottom w:val="single" w:color="BDC3C7" w:sz="1"/>
              <w:right w:val="single" w:color="BDC3C7" w:sz="1"/>
            </w:tcBorders>
            <w:shd w:fill="D6EAF8" w:color="auto" w:val="clear"/>
            <w:tcMar>
              <w:top w:type="dxa" w:w="80"/>
              <w:left w:type="dxa" w:w="120"/>
              <w:bottom w:type="dxa" w:w="80"/>
              <w:right w:type="dxa" w:w="120"/>
            </w:tcMar>
          </w:tcPr>
          <w:p>
            <w:r>
              <w:rPr>
                <w:rFonts w:ascii="Arial" w:cs="Arial" w:eastAsia="Arial" w:hAnsi="Arial"/>
                <w:b/>
                <w:bCs/>
                <w:color w:val="1B4F72"/>
                <w:sz w:val="20"/>
                <w:szCs w:val="20"/>
              </w:rPr>
              <w:t xml:space="preserve">17 pages</w:t>
            </w:r>
          </w:p>
        </w:tc>
      </w:tr>
    </w:tbl>
    <w:p>
      <w:pPr>
        <w:spacing w:after="60" w:before="60"/>
      </w:pPr>
    </w:p>
    <w:p>
      <w:pPr>
        <w:pStyle w:val="Heading2"/>
        <w:spacing w:after="160" w:before="280"/>
      </w:pPr>
      <w:r>
        <w:rPr>
          <w:rFonts w:ascii="Arial" w:cs="Arial" w:eastAsia="Arial" w:hAnsi="Arial"/>
          <w:b/>
          <w:bCs/>
          <w:color w:val="2E86C1"/>
          <w:sz w:val="26"/>
          <w:szCs w:val="26"/>
        </w:rPr>
        <w:t xml:space="preserve">4.2 Priority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6"/>
              <w:bottom w:val="single" w:color="27AE60" w:sz="1"/>
              <w:right w:val="single" w:color="27AE60" w:sz="1"/>
            </w:tcBorders>
            <w:shd w:fill="E8F8F5" w:color="auto" w:val="clear"/>
            <w:tcMar>
              <w:top w:type="dxa" w:w="120"/>
              <w:left w:type="dxa" w:w="200"/>
              <w:bottom w:type="dxa" w:w="120"/>
              <w:right w:type="dxa" w:w="200"/>
            </w:tcMar>
          </w:tcPr>
          <w:p>
            <w:pPr>
              <w:spacing w:after="60"/>
            </w:pPr>
            <w:r>
              <w:rPr>
                <w:rFonts w:ascii="Arial" w:cs="Arial" w:eastAsia="Arial" w:hAnsi="Arial"/>
                <w:b/>
                <w:bCs/>
                <w:color w:val="27AE60"/>
                <w:sz w:val="21"/>
                <w:szCs w:val="21"/>
              </w:rPr>
              <w:t xml:space="preserve">P1 — Launch (16 pages)</w:t>
            </w:r>
          </w:p>
          <w:p>
            <w:pPr>
              <w:spacing w:after="0"/>
            </w:pPr>
            <w:r>
              <w:rPr>
                <w:rFonts w:ascii="Arial" w:cs="Arial" w:eastAsia="Arial" w:hAnsi="Arial"/>
                <w:color w:val="444444"/>
                <w:sz w:val="20"/>
                <w:szCs w:val="20"/>
              </w:rPr>
              <w:t xml:space="preserve">Must be live at launch. These are pillar hub pages, primary cluster pages for the top conversion journeys, key comparison pages, and state hubs for Wyoming and Nevada. Without these, the site architecture has structural gaps that break the pillar/cluster SEO strategy.</w:t>
            </w:r>
          </w:p>
        </w:tc>
      </w:tr>
    </w:tbl>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1"/>
              <w:left w:val="single" w:color="F39C12" w:sz="6"/>
              <w:bottom w:val="single" w:color="F39C12" w:sz="1"/>
              <w:right w:val="single" w:color="F39C12" w:sz="1"/>
            </w:tcBorders>
            <w:shd w:fill="FFF3E0" w:color="auto" w:val="clear"/>
            <w:tcMar>
              <w:top w:type="dxa" w:w="120"/>
              <w:left w:type="dxa" w:w="200"/>
              <w:bottom w:type="dxa" w:w="120"/>
              <w:right w:type="dxa" w:w="200"/>
            </w:tcMar>
          </w:tcPr>
          <w:p>
            <w:pPr>
              <w:spacing w:after="60"/>
            </w:pPr>
            <w:r>
              <w:rPr>
                <w:rFonts w:ascii="Arial" w:cs="Arial" w:eastAsia="Arial" w:hAnsi="Arial"/>
                <w:b/>
                <w:bCs/>
                <w:color w:val="F39C12"/>
                <w:sz w:val="21"/>
                <w:szCs w:val="21"/>
              </w:rPr>
              <w:t xml:space="preserve">P2 — Expansion (17 pages)</w:t>
            </w:r>
          </w:p>
          <w:p>
            <w:pPr>
              <w:spacing w:after="0"/>
            </w:pPr>
            <w:r>
              <w:rPr>
                <w:rFonts w:ascii="Arial" w:cs="Arial" w:eastAsia="Arial" w:hAnsi="Arial"/>
                <w:color w:val="444444"/>
                <w:sz w:val="20"/>
                <w:szCs w:val="20"/>
              </w:rPr>
              <w:t xml:space="preserve">Can launch shortly after go-live without breaking the architecture. These are secondary cluster pages (Anonymous Corporation, BOI Reporting), state-specific expansions (California and Florida hubs), and comparison pages that enhance the internal linking but are not structurally required at launch.</w:t>
            </w:r>
          </w:p>
        </w:tc>
      </w:tr>
    </w:tbl>
    <w:p>
      <w:pPr>
        <w:spacing w:after="60" w:before="60"/>
      </w:pPr>
    </w:p>
    <w:p>
      <w:pPr>
        <w:spacing w:after="120" w:line="276"/>
      </w:pPr>
      <w:r>
        <w:rPr>
          <w:rFonts w:ascii="Arial" w:cs="Arial" w:eastAsia="Arial" w:hAnsi="Arial"/>
          <w:color w:val="333333"/>
          <w:sz w:val="21"/>
          <w:szCs w:val="21"/>
        </w:rPr>
        <w:t xml:space="preserve">Every new page will receive a detailed content brief and SEO specification as part of Phase 3 (SEO Strategy &amp; Implementation). The briefs will define target keywords, H1/title/meta requirements, content structure, internal linking targets, and word count goals.</w:t>
      </w:r>
    </w:p>
    <w:p>
      <w:pPr>
        <w:pStyle w:val="Heading1"/>
        <w:pBdr>
          <w:bottom w:val="single" w:color="2E86C1" w:sz="3" w:space="4"/>
        </w:pBdr>
        <w:spacing w:after="200" w:before="360"/>
      </w:pPr>
      <w:r>
        <w:rPr>
          <w:rFonts w:ascii="Arial" w:cs="Arial" w:eastAsia="Arial" w:hAnsi="Arial"/>
          <w:b/>
          <w:bCs/>
          <w:color w:val="1B4F72"/>
          <w:sz w:val="32"/>
          <w:szCs w:val="32"/>
        </w:rPr>
        <w:t xml:space="preserve">5. Cross-Pillar Linking Strategy</w:t>
      </w:r>
    </w:p>
    <w:p>
      <w:pPr>
        <w:spacing w:after="120" w:line="276"/>
      </w:pPr>
      <w:r>
        <w:rPr>
          <w:rFonts w:ascii="Arial" w:cs="Arial" w:eastAsia="Arial" w:hAnsi="Arial"/>
          <w:color w:val="333333"/>
          <w:sz w:val="21"/>
          <w:szCs w:val="21"/>
        </w:rPr>
        <w:t xml:space="preserve">Fourteen pages in the new architecture serve multiple pillars simultaneously. These pages are the connective tissue of the site — they prevent the four-pillar structure from becoming four disconnected silos. Getting the internal linking right on these pages is critical for both user experience and SEO authority flow.</w:t>
      </w:r>
    </w:p>
    <w:p>
      <w:pPr>
        <w:spacing w:after="60" w:before="60"/>
      </w:pPr>
    </w:p>
    <w:p>
      <w:pPr>
        <w:pStyle w:val="Heading2"/>
        <w:spacing w:after="160" w:before="280"/>
      </w:pPr>
      <w:r>
        <w:rPr>
          <w:rFonts w:ascii="Arial" w:cs="Arial" w:eastAsia="Arial" w:hAnsi="Arial"/>
          <w:b/>
          <w:bCs/>
          <w:color w:val="2E86C1"/>
          <w:sz w:val="26"/>
          <w:szCs w:val="26"/>
        </w:rPr>
        <w:t xml:space="preserve">5.1 Highest-Priority Cross-Pillar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20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Pillar</w:t>
            </w:r>
          </w:p>
        </w:tc>
        <w:tc>
          <w:tcPr>
            <w:tcW w:type="dxa" w:w="45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Also Linked From</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Nominee Services</w:t>
            </w:r>
          </w:p>
        </w:tc>
        <w:tc>
          <w:tcPr>
            <w:tcW w:type="dxa" w:w="2000"/>
            <w:tcBorders>
              <w:top w:val="single" w:color="BDC3C7" w:sz="1"/>
              <w:left w:val="single" w:color="BDC3C7" w:sz="1"/>
              <w:bottom w:val="single" w:color="BDC3C7" w:sz="1"/>
              <w:right w:val="single" w:color="BDC3C7" w:sz="1"/>
            </w:tcBorders>
            <w:shd w:fill="E8EAF6" w:color="auto" w:val="clear"/>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All package pages — key differentiator that drives Gold package conversions</w:t>
            </w:r>
          </w:p>
        </w:tc>
      </w:tr>
      <w:tr>
        <w:tc>
          <w:tcPr>
            <w:tcW w:type="dxa" w:w="2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LLC vs Corporation</w:t>
            </w:r>
          </w:p>
        </w:tc>
        <w:tc>
          <w:tcPr>
            <w:tcW w:type="dxa" w:w="2000"/>
            <w:tcBorders>
              <w:top w:val="single" w:color="BDC3C7" w:sz="1"/>
              <w:left w:val="single" w:color="BDC3C7" w:sz="1"/>
              <w:bottom w:val="single" w:color="BDC3C7" w:sz="1"/>
              <w:right w:val="single" w:color="BDC3C7" w:sz="1"/>
            </w:tcBorders>
            <w:shd w:fill="E0F2F1" w:color="auto" w:val="clear"/>
            <w:tcMar>
              <w:top w:type="dxa" w:w="80"/>
              <w:left w:type="dxa" w:w="120"/>
              <w:bottom w:type="dxa" w:w="80"/>
              <w:right w:type="dxa" w:w="120"/>
            </w:tcMar>
          </w:tcPr>
          <w:p>
            <w:r>
              <w:rPr>
                <w:rFonts w:ascii="Arial" w:cs="Arial" w:eastAsia="Arial" w:hAnsi="Arial"/>
                <w:color w:val="333333"/>
                <w:sz w:val="20"/>
                <w:szCs w:val="20"/>
              </w:rPr>
              <w:t xml:space="preserve">Formation</w:t>
            </w:r>
          </w:p>
        </w:tc>
        <w:tc>
          <w:tcPr>
            <w:tcW w:type="dxa" w:w="4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Privacy (entity type affects anonymity) and Asset Protection (AP implications)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Charging Order Protection</w:t>
            </w:r>
          </w:p>
        </w:tc>
        <w:tc>
          <w:tcPr>
            <w:tcW w:type="dxa" w:w="2000"/>
            <w:tcBorders>
              <w:top w:val="single" w:color="BDC3C7" w:sz="1"/>
              <w:left w:val="single" w:color="BDC3C7" w:sz="1"/>
              <w:bottom w:val="single" w:color="BDC3C7" w:sz="1"/>
              <w:right w:val="single" w:color="BDC3C7" w:sz="1"/>
            </w:tcBorders>
            <w:shd w:fill="FFF3E0" w:color="auto" w:val="clear"/>
            <w:tcMar>
              <w:top w:type="dxa" w:w="80"/>
              <w:left w:type="dxa" w:w="120"/>
              <w:bottom w:type="dxa" w:w="80"/>
              <w:right w:type="dxa" w:w="120"/>
            </w:tcMar>
          </w:tcPr>
          <w:p>
            <w:r>
              <w:rPr>
                <w:rFonts w:ascii="Arial" w:cs="Arial" w:eastAsia="Arial" w:hAnsi="Arial"/>
                <w:color w:val="333333"/>
                <w:sz w:val="20"/>
                <w:szCs w:val="20"/>
              </w:rPr>
              <w:t xml:space="preserve">Asset Protection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Privacy (why AP matters for privacy) and Formation (LLC benefit)</w:t>
            </w:r>
          </w:p>
        </w:tc>
      </w:tr>
      <w:tr>
        <w:tc>
          <w:tcPr>
            <w:tcW w:type="dxa" w:w="2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Registered Agent</w:t>
            </w:r>
          </w:p>
        </w:tc>
        <w:tc>
          <w:tcPr>
            <w:tcW w:type="dxa" w:w="2000"/>
            <w:tcBorders>
              <w:top w:val="single" w:color="BDC3C7" w:sz="1"/>
              <w:left w:val="single" w:color="BDC3C7" w:sz="1"/>
              <w:bottom w:val="single" w:color="BDC3C7" w:sz="1"/>
              <w:right w:val="single" w:color="BDC3C7" w:sz="1"/>
            </w:tcBorders>
            <w:shd w:fill="FCE4EC" w:color="auto" w:val="clear"/>
            <w:tcMar>
              <w:top w:type="dxa" w:w="80"/>
              <w:left w:type="dxa" w:w="120"/>
              <w:bottom w:type="dxa" w:w="80"/>
              <w:right w:type="dxa" w:w="120"/>
            </w:tcMar>
          </w:tcPr>
          <w:p>
            <w:r>
              <w:rPr>
                <w:rFonts w:ascii="Arial" w:cs="Arial" w:eastAsia="Arial" w:hAnsi="Arial"/>
                <w:color w:val="333333"/>
                <w:sz w:val="20"/>
                <w:szCs w:val="20"/>
              </w:rPr>
              <w:t xml:space="preserve">Compliance</w:t>
            </w:r>
          </w:p>
        </w:tc>
        <w:tc>
          <w:tcPr>
            <w:tcW w:type="dxa" w:w="4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Every package page — included in all formation packages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Investment Holding LLC</w:t>
            </w:r>
          </w:p>
        </w:tc>
        <w:tc>
          <w:tcPr>
            <w:tcW w:type="dxa" w:w="2000"/>
            <w:tcBorders>
              <w:top w:val="single" w:color="BDC3C7" w:sz="1"/>
              <w:left w:val="single" w:color="BDC3C7" w:sz="1"/>
              <w:bottom w:val="single" w:color="BDC3C7" w:sz="1"/>
              <w:right w:val="single" w:color="BDC3C7" w:sz="1"/>
            </w:tcBorders>
            <w:shd w:fill="FFF3E0" w:color="auto" w:val="clear"/>
            <w:tcMar>
              <w:top w:type="dxa" w:w="80"/>
              <w:left w:type="dxa" w:w="120"/>
              <w:bottom w:type="dxa" w:w="80"/>
              <w:right w:type="dxa" w:w="120"/>
            </w:tcMar>
          </w:tcPr>
          <w:p>
            <w:r>
              <w:rPr>
                <w:rFonts w:ascii="Arial" w:cs="Arial" w:eastAsia="Arial" w:hAnsi="Arial"/>
                <w:color w:val="333333"/>
                <w:sz w:val="20"/>
                <w:szCs w:val="20"/>
              </w:rPr>
              <w:t xml:space="preserve">Asset Protection</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Formation pillar — relevant to both AP strategies and formation decisions</w:t>
            </w:r>
          </w:p>
        </w:tc>
      </w:tr>
      <w:tr>
        <w:tc>
          <w:tcPr>
            <w:tcW w:type="dxa" w:w="2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CA/FL Private Inc.</w:t>
            </w:r>
          </w:p>
        </w:tc>
        <w:tc>
          <w:tcPr>
            <w:tcW w:type="dxa" w:w="2000"/>
            <w:tcBorders>
              <w:top w:val="single" w:color="BDC3C7" w:sz="1"/>
              <w:left w:val="single" w:color="BDC3C7" w:sz="1"/>
              <w:bottom w:val="single" w:color="BDC3C7" w:sz="1"/>
              <w:right w:val="single" w:color="BDC3C7" w:sz="1"/>
            </w:tcBorders>
            <w:shd w:fill="F3E5F5" w:color="auto" w:val="clear"/>
            <w:tcMar>
              <w:top w:type="dxa" w:w="80"/>
              <w:left w:type="dxa" w:w="120"/>
              <w:bottom w:type="dxa" w:w="80"/>
              <w:right w:type="dxa" w:w="120"/>
            </w:tcMar>
          </w:tcPr>
          <w:p>
            <w:r>
              <w:rPr>
                <w:rFonts w:ascii="Arial" w:cs="Arial" w:eastAsia="Arial" w:hAnsi="Arial"/>
                <w:color w:val="333333"/>
                <w:sz w:val="20"/>
                <w:szCs w:val="20"/>
              </w:rPr>
              <w:t xml:space="preserve">Package</w:t>
            </w:r>
          </w:p>
        </w:tc>
        <w:tc>
          <w:tcPr>
            <w:tcW w:type="dxa" w:w="45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Privacy pillar (solution for CA/FL residents) and State Hubs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Shelf Companies</w:t>
            </w:r>
          </w:p>
        </w:tc>
        <w:tc>
          <w:tcPr>
            <w:tcW w:type="dxa" w:w="2000"/>
            <w:tcBorders>
              <w:top w:val="single" w:color="BDC3C7" w:sz="1"/>
              <w:left w:val="single" w:color="BDC3C7" w:sz="1"/>
              <w:bottom w:val="single" w:color="BDC3C7" w:sz="1"/>
              <w:right w:val="single" w:color="BDC3C7" w:sz="1"/>
            </w:tcBorders>
            <w:shd w:fill="F3E5F5" w:color="auto" w:val="clear"/>
            <w:tcMar>
              <w:top w:type="dxa" w:w="80"/>
              <w:left w:type="dxa" w:w="120"/>
              <w:bottom w:type="dxa" w:w="80"/>
              <w:right w:type="dxa" w:w="120"/>
            </w:tcMar>
          </w:tcPr>
          <w:p>
            <w:r>
              <w:rPr>
                <w:rFonts w:ascii="Arial" w:cs="Arial" w:eastAsia="Arial" w:hAnsi="Arial"/>
                <w:color w:val="333333"/>
                <w:sz w:val="20"/>
                <w:szCs w:val="20"/>
              </w:rPr>
              <w:t xml:space="preserve">Package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Formation (shelf vs new) and Privacy (immediate availability)</w:t>
            </w:r>
          </w:p>
        </w:tc>
      </w:tr>
    </w:tbl>
    <w:p>
      <w:pPr>
        <w:spacing w:after="60" w:before="60"/>
      </w:pPr>
    </w:p>
    <w:p>
      <w:pPr>
        <w:spacing w:after="120" w:line="276"/>
      </w:pPr>
      <w:r>
        <w:rPr>
          <w:rFonts w:ascii="Arial" w:cs="Arial" w:eastAsia="Arial" w:hAnsi="Arial"/>
          <w:color w:val="333333"/>
          <w:sz w:val="21"/>
          <w:szCs w:val="21"/>
        </w:rPr>
        <w:t xml:space="preserve">The UX prototyping phase will define exactly how these cross-references manifest in the interface: contextual CTAs, “Also relevant to” sidebar blocks, in-content links, and comparison callouts. The SEO specification phase will define anchor text and link placement for maximum authority transfer.</w:t>
      </w:r>
    </w:p>
    <w:p>
      <w:pPr>
        <w:pStyle w:val="Heading1"/>
        <w:pBdr>
          <w:bottom w:val="single" w:color="2E86C1" w:sz="3" w:space="4"/>
        </w:pBdr>
        <w:spacing w:after="200" w:before="360"/>
      </w:pPr>
      <w:r>
        <w:rPr>
          <w:rFonts w:ascii="Arial" w:cs="Arial" w:eastAsia="Arial" w:hAnsi="Arial"/>
          <w:b/>
          <w:bCs/>
          <w:color w:val="1B4F72"/>
          <w:sz w:val="32"/>
          <w:szCs w:val="32"/>
        </w:rPr>
        <w:t xml:space="preserve">6. FAQ Consolidation Strategy</w:t>
      </w:r>
    </w:p>
    <w:p>
      <w:pPr>
        <w:spacing w:after="120" w:line="276"/>
      </w:pPr>
      <w:r>
        <w:rPr>
          <w:rFonts w:ascii="Arial" w:cs="Arial" w:eastAsia="Arial" w:hAnsi="Arial"/>
          <w:color w:val="333333"/>
          <w:sz w:val="21"/>
          <w:szCs w:val="21"/>
        </w:rPr>
        <w:t xml:space="preserve">The Learning Center is the single largest migration challenge: 244 URLs collapsing into contextual FAQ sections distributed across the entire new architecture. Here is how the consolidation works.</w:t>
      </w:r>
    </w:p>
    <w:p>
      <w:pPr>
        <w:spacing w:after="60" w:before="60"/>
      </w:pPr>
    </w:p>
    <w:p>
      <w:pPr>
        <w:pStyle w:val="Heading2"/>
        <w:spacing w:after="160" w:before="280"/>
      </w:pPr>
      <w:r>
        <w:rPr>
          <w:rFonts w:ascii="Arial" w:cs="Arial" w:eastAsia="Arial" w:hAnsi="Arial"/>
          <w:b/>
          <w:bCs/>
          <w:color w:val="2E86C1"/>
          <w:sz w:val="26"/>
          <w:szCs w:val="26"/>
        </w:rPr>
        <w:t xml:space="preserve">6.1 The Three-Tier Approach</w:t>
      </w:r>
    </w:p>
    <w:p>
      <w:pPr>
        <w:spacing w:after="40" w:before="40"/>
      </w:pPr>
    </w:p>
    <w:p>
      <w:pPr>
        <w:pStyle w:val="ListParagraph"/>
        <w:numPr>
          <w:ilvl w:val="0"/>
          <w:numId w:val="3"/>
        </w:numPr>
        <w:spacing w:after="100" w:line="276"/>
      </w:pPr>
      <w:r>
        <w:rPr>
          <w:rFonts w:ascii="Arial" w:cs="Arial" w:eastAsia="Arial" w:hAnsi="Arial"/>
          <w:b/>
          <w:bCs/>
          <w:color w:val="333333"/>
          <w:sz w:val="21"/>
          <w:szCs w:val="21"/>
        </w:rPr>
        <w:t xml:space="preserve">Topic-Assigned Items (est. ~140 of 188). </w:t>
      </w:r>
      <w:r>
        <w:rPr>
          <w:rFonts w:ascii="Arial" w:cs="Arial" w:eastAsia="Arial" w:hAnsi="Arial"/>
          <w:color w:val="333333"/>
          <w:sz w:val="21"/>
          <w:szCs w:val="21"/>
        </w:rPr>
        <w:t xml:space="preserve">FAQ items with a clear topical match to a specific pillar or cluster page. Example: “What is a charging order?” moves to the Charging Order Protection cluster page’s FAQ section. These are the majority and the easiest to map.</w:t>
      </w:r>
    </w:p>
    <w:p>
      <w:pPr>
        <w:pStyle w:val="ListParagraph"/>
        <w:numPr>
          <w:ilvl w:val="0"/>
          <w:numId w:val="3"/>
        </w:numPr>
        <w:spacing w:after="100" w:line="276"/>
      </w:pPr>
      <w:r>
        <w:rPr>
          <w:rFonts w:ascii="Arial" w:cs="Arial" w:eastAsia="Arial" w:hAnsi="Arial"/>
          <w:b/>
          <w:bCs/>
          <w:color w:val="333333"/>
          <w:sz w:val="21"/>
          <w:szCs w:val="21"/>
        </w:rPr>
        <w:t xml:space="preserve">Multi-Relevant Items (est. ~30 of 188). </w:t>
      </w:r>
      <w:r>
        <w:rPr>
          <w:rFonts w:ascii="Arial" w:cs="Arial" w:eastAsia="Arial" w:hAnsi="Arial"/>
          <w:color w:val="333333"/>
          <w:sz w:val="21"/>
          <w:szCs w:val="21"/>
        </w:rPr>
        <w:t xml:space="preserve">FAQ items that span topics. Example: “Should I form an LLC or Corporation?” is relevant to Formation, Privacy, and Asset Protection. These get placed on the most commercially relevant page with cross-links from related pages.</w:t>
      </w:r>
    </w:p>
    <w:p>
      <w:pPr>
        <w:pStyle w:val="ListParagraph"/>
        <w:numPr>
          <w:ilvl w:val="0"/>
          <w:numId w:val="3"/>
        </w:numPr>
        <w:spacing w:after="100" w:line="276"/>
      </w:pPr>
      <w:r>
        <w:rPr>
          <w:rFonts w:ascii="Arial" w:cs="Arial" w:eastAsia="Arial" w:hAnsi="Arial"/>
          <w:b/>
          <w:bCs/>
          <w:color w:val="333333"/>
          <w:sz w:val="21"/>
          <w:szCs w:val="21"/>
        </w:rPr>
        <w:t xml:space="preserve">General / Catch-All Items (est. ~18 of 188). </w:t>
      </w:r>
      <w:r>
        <w:rPr>
          <w:rFonts w:ascii="Arial" w:cs="Arial" w:eastAsia="Arial" w:hAnsi="Arial"/>
          <w:color w:val="333333"/>
          <w:sz w:val="21"/>
          <w:szCs w:val="21"/>
        </w:rPr>
        <w:t xml:space="preserve">Broad questions without a clear pillar home. These go to the FAQ Hub (/faq/) which serves as the consolidated Learning Center replacement.</w:t>
      </w:r>
    </w:p>
    <w:p>
      <w:pPr>
        <w:pStyle w:val="Heading2"/>
        <w:spacing w:after="160" w:before="280"/>
      </w:pPr>
      <w:r>
        <w:rPr>
          <w:rFonts w:ascii="Arial" w:cs="Arial" w:eastAsia="Arial" w:hAnsi="Arial"/>
          <w:b/>
          <w:bCs/>
          <w:color w:val="2E86C1"/>
          <w:sz w:val="26"/>
          <w:szCs w:val="26"/>
        </w:rPr>
        <w:t xml:space="preserve">6.2 Legal Reference Integration</w:t>
      </w:r>
    </w:p>
    <w:p>
      <w:pPr>
        <w:spacing w:after="120" w:line="276"/>
      </w:pPr>
      <w:r>
        <w:rPr>
          <w:rFonts w:ascii="Arial" w:cs="Arial" w:eastAsia="Arial" w:hAnsi="Arial"/>
          <w:color w:val="333333"/>
          <w:sz w:val="21"/>
          <w:szCs w:val="21"/>
        </w:rPr>
        <w:t xml:space="preserve">The 18 NRS statutes and case law reference pages in the Learning Center represent genuinely valuable content that has been mapped to specific cluster pages based on legal topic:</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Asset Protection: </w:t>
      </w:r>
      <w:r>
        <w:rPr>
          <w:rFonts w:ascii="Arial" w:cs="Arial" w:eastAsia="Arial" w:hAnsi="Arial"/>
          <w:color w:val="333333"/>
          <w:sz w:val="21"/>
          <w:szCs w:val="21"/>
        </w:rPr>
        <w:t xml:space="preserve">NRS 86.401 (charging orders), NRS 76.160, Polaris Industries, Rowland v. LePire, Paladin case, corporate veil, community property, joint liability → AP pillar and cluster FAQ sections</w:t>
      </w:r>
    </w:p>
    <w:p>
      <w:pPr>
        <w:pStyle w:val="ListParagraph"/>
        <w:numPr>
          <w:ilvl w:val="0"/>
          <w:numId w:val="2"/>
        </w:numPr>
        <w:spacing w:after="60" w:line="276"/>
      </w:pPr>
      <w:r>
        <w:rPr>
          <w:rFonts w:ascii="Arial" w:cs="Arial" w:eastAsia="Arial" w:hAnsi="Arial"/>
          <w:b/>
          <w:bCs/>
          <w:color w:val="333333"/>
          <w:sz w:val="21"/>
          <w:szCs w:val="21"/>
        </w:rPr>
        <w:t xml:space="preserve">Formation: </w:t>
      </w:r>
      <w:r>
        <w:rPr>
          <w:rFonts w:ascii="Arial" w:cs="Arial" w:eastAsia="Arial" w:hAnsi="Arial"/>
          <w:color w:val="333333"/>
          <w:sz w:val="21"/>
          <w:szCs w:val="21"/>
        </w:rPr>
        <w:t xml:space="preserve">NRS 86.241, NRS 86.246, NRS 78.105, NRS 78.746, Treasury Reg. 301.7701-3, phantom income → LLC and Corporation cluster content</w:t>
      </w:r>
    </w:p>
    <w:p>
      <w:pPr>
        <w:pStyle w:val="ListParagraph"/>
        <w:numPr>
          <w:ilvl w:val="0"/>
          <w:numId w:val="2"/>
        </w:numPr>
        <w:spacing w:after="60" w:line="276"/>
      </w:pPr>
      <w:r>
        <w:rPr>
          <w:rFonts w:ascii="Arial" w:cs="Arial" w:eastAsia="Arial" w:hAnsi="Arial"/>
          <w:b/>
          <w:bCs/>
          <w:color w:val="333333"/>
          <w:sz w:val="21"/>
          <w:szCs w:val="21"/>
        </w:rPr>
        <w:t xml:space="preserve">Privacy: </w:t>
      </w:r>
      <w:r>
        <w:rPr>
          <w:rFonts w:ascii="Arial" w:cs="Arial" w:eastAsia="Arial" w:hAnsi="Arial"/>
          <w:color w:val="333333"/>
          <w:sz w:val="21"/>
          <w:szCs w:val="21"/>
        </w:rPr>
        <w:t xml:space="preserve">NRS 77.443, Gil Hyatt v. CA FTB → Privacy pillar NV privacy cluster</w:t>
      </w:r>
    </w:p>
    <w:p>
      <w:pPr>
        <w:pStyle w:val="ListParagraph"/>
        <w:numPr>
          <w:ilvl w:val="0"/>
          <w:numId w:val="2"/>
        </w:numPr>
        <w:spacing w:after="60" w:line="276"/>
      </w:pPr>
      <w:r>
        <w:rPr>
          <w:rFonts w:ascii="Arial" w:cs="Arial" w:eastAsia="Arial" w:hAnsi="Arial"/>
          <w:b/>
          <w:bCs/>
          <w:color w:val="333333"/>
          <w:sz w:val="21"/>
          <w:szCs w:val="21"/>
        </w:rPr>
        <w:t xml:space="preserve">Compliance: </w:t>
      </w:r>
      <w:r>
        <w:rPr>
          <w:rFonts w:ascii="Arial" w:cs="Arial" w:eastAsia="Arial" w:hAnsi="Arial"/>
          <w:color w:val="333333"/>
          <w:sz w:val="21"/>
          <w:szCs w:val="21"/>
        </w:rPr>
        <w:t xml:space="preserve">NRS 92A.270 → Domestication cluster page</w:t>
      </w:r>
    </w:p>
    <w:p>
      <w:pPr>
        <w:spacing w:after="60" w:before="60"/>
      </w:pPr>
    </w:p>
    <w:p>
      <w:pPr>
        <w:spacing w:after="120" w:line="276"/>
      </w:pPr>
      <w:r>
        <w:rPr>
          <w:rFonts w:ascii="Arial" w:cs="Arial" w:eastAsia="Arial" w:hAnsi="Arial"/>
          <w:color w:val="333333"/>
          <w:sz w:val="21"/>
          <w:szCs w:val="21"/>
        </w:rPr>
        <w:t xml:space="preserve">These references become supporting evidence within cluster pages rather than standalone URLs. The legal citations add authority and depth to the educational content, which is exactly what the pillar/cluster SEO strategy needs.</w:t>
      </w:r>
    </w:p>
    <w:p>
      <w:pPr>
        <w:pStyle w:val="Heading1"/>
        <w:pBdr>
          <w:bottom w:val="single" w:color="2E86C1" w:sz="3" w:space="4"/>
        </w:pBdr>
        <w:spacing w:after="200" w:before="360"/>
      </w:pPr>
      <w:r>
        <w:rPr>
          <w:rFonts w:ascii="Arial" w:cs="Arial" w:eastAsia="Arial" w:hAnsi="Arial"/>
          <w:b/>
          <w:bCs/>
          <w:color w:val="1B4F72"/>
          <w:sz w:val="32"/>
          <w:szCs w:val="32"/>
        </w:rPr>
        <w:t xml:space="preserve">7. Content Flow by Pillar</w:t>
      </w:r>
    </w:p>
    <w:p>
      <w:pPr>
        <w:spacing w:after="120" w:line="276"/>
      </w:pPr>
      <w:r>
        <w:rPr>
          <w:rFonts w:ascii="Arial" w:cs="Arial" w:eastAsia="Arial" w:hAnsi="Arial"/>
          <w:color w:val="333333"/>
          <w:sz w:val="21"/>
          <w:szCs w:val="21"/>
        </w:rPr>
        <w:t xml:space="preserve">This section traces the major content flows from the current site into each pillar of the new architecture, showing which current pages feed into which new pages.</w:t>
      </w:r>
    </w:p>
    <w:p>
      <w:pPr>
        <w:pStyle w:val="Heading2"/>
        <w:spacing w:after="160" w:before="280"/>
      </w:pPr>
      <w:r>
        <w:rPr>
          <w:rFonts w:ascii="Arial" w:cs="Arial" w:eastAsia="Arial" w:hAnsi="Arial"/>
          <w:b/>
          <w:bCs/>
          <w:color w:val="2E86C1"/>
          <w:sz w:val="26"/>
          <w:szCs w:val="26"/>
        </w:rPr>
        <w:t xml:space="preserve">7.1 Privacy Pillar (receives content from ~40 current URLs)</w:t>
      </w:r>
    </w:p>
    <w:p>
      <w:pPr>
        <w:pStyle w:val="ListParagraph"/>
        <w:numPr>
          <w:ilvl w:val="0"/>
          <w:numId w:val="2"/>
        </w:numPr>
        <w:spacing w:after="60" w:line="276"/>
      </w:pPr>
      <w:r>
        <w:rPr>
          <w:rFonts w:ascii="Arial" w:cs="Arial" w:eastAsia="Arial" w:hAnsi="Arial"/>
          <w:b/>
          <w:bCs/>
          <w:color w:val="333333"/>
          <w:sz w:val="21"/>
          <w:szCs w:val="21"/>
        </w:rPr>
        <w:t xml:space="preserve">/services/privacy-services + /services/nominee </w:t>
      </w:r>
      <w:r>
        <w:rPr>
          <w:rFonts w:ascii="Arial" w:cs="Arial" w:eastAsia="Arial" w:hAnsi="Arial"/>
          <w:color w:val="333333"/>
          <w:sz w:val="21"/>
          <w:szCs w:val="21"/>
        </w:rPr>
        <w:t xml:space="preserve">→ /nominee-services/ (core differentiator page)</w:t>
      </w:r>
    </w:p>
    <w:p>
      <w:pPr>
        <w:pStyle w:val="ListParagraph"/>
        <w:numPr>
          <w:ilvl w:val="0"/>
          <w:numId w:val="2"/>
        </w:numPr>
        <w:spacing w:after="60" w:line="276"/>
      </w:pPr>
      <w:r>
        <w:rPr>
          <w:rFonts w:ascii="Arial" w:cs="Arial" w:eastAsia="Arial" w:hAnsi="Arial"/>
          <w:b/>
          <w:bCs/>
          <w:color w:val="333333"/>
          <w:sz w:val="21"/>
          <w:szCs w:val="21"/>
        </w:rPr>
        <w:t xml:space="preserve">/services/nominee_popup </w:t>
      </w:r>
      <w:r>
        <w:rPr>
          <w:rFonts w:ascii="Arial" w:cs="Arial" w:eastAsia="Arial" w:hAnsi="Arial"/>
          <w:color w:val="333333"/>
          <w:sz w:val="21"/>
          <w:szCs w:val="21"/>
        </w:rPr>
        <w:t xml:space="preserve">→ inline expandable content within nominee-services</w:t>
      </w:r>
    </w:p>
    <w:p>
      <w:pPr>
        <w:pStyle w:val="ListParagraph"/>
        <w:numPr>
          <w:ilvl w:val="0"/>
          <w:numId w:val="2"/>
        </w:numPr>
        <w:spacing w:after="60" w:line="276"/>
      </w:pPr>
      <w:r>
        <w:rPr>
          <w:rFonts w:ascii="Arial" w:cs="Arial" w:eastAsia="Arial" w:hAnsi="Arial"/>
          <w:b/>
          <w:bCs/>
          <w:color w:val="333333"/>
          <w:sz w:val="21"/>
          <w:szCs w:val="21"/>
        </w:rPr>
        <w:t xml:space="preserve">NV/WY Gold package privacy content </w:t>
      </w:r>
      <w:r>
        <w:rPr>
          <w:rFonts w:ascii="Arial" w:cs="Arial" w:eastAsia="Arial" w:hAnsi="Arial"/>
          <w:color w:val="333333"/>
          <w:sz w:val="21"/>
          <w:szCs w:val="21"/>
        </w:rPr>
        <w:t xml:space="preserve">→ extracted into /wyoming-privacy/ and /nevada-privacy/ clusters</w:t>
      </w:r>
    </w:p>
    <w:p>
      <w:pPr>
        <w:pStyle w:val="ListParagraph"/>
        <w:numPr>
          <w:ilvl w:val="0"/>
          <w:numId w:val="2"/>
        </w:numPr>
        <w:spacing w:after="60" w:line="276"/>
      </w:pPr>
      <w:r>
        <w:rPr>
          <w:rFonts w:ascii="Arial" w:cs="Arial" w:eastAsia="Arial" w:hAnsi="Arial"/>
          <w:b/>
          <w:bCs/>
          <w:color w:val="333333"/>
          <w:sz w:val="21"/>
          <w:szCs w:val="21"/>
        </w:rPr>
        <w:t xml:space="preserve">LC items on anonymous formation, privacy, nominees </w:t>
      </w:r>
      <w:r>
        <w:rPr>
          <w:rFonts w:ascii="Arial" w:cs="Arial" w:eastAsia="Arial" w:hAnsi="Arial"/>
          <w:color w:val="333333"/>
          <w:sz w:val="21"/>
          <w:szCs w:val="21"/>
        </w:rPr>
        <w:t xml:space="preserve">→ FAQ sections on Privacy pillar and cluster pages</w:t>
      </w:r>
    </w:p>
    <w:p>
      <w:pPr>
        <w:pStyle w:val="ListParagraph"/>
        <w:numPr>
          <w:ilvl w:val="0"/>
          <w:numId w:val="2"/>
        </w:numPr>
        <w:spacing w:after="60" w:line="276"/>
      </w:pPr>
      <w:r>
        <w:rPr>
          <w:rFonts w:ascii="Arial" w:cs="Arial" w:eastAsia="Arial" w:hAnsi="Arial"/>
          <w:b/>
          <w:bCs/>
          <w:color w:val="333333"/>
          <w:sz w:val="21"/>
          <w:szCs w:val="21"/>
        </w:rPr>
        <w:t xml:space="preserve">NRS 77.443, Gil Hyatt case </w:t>
      </w:r>
      <w:r>
        <w:rPr>
          <w:rFonts w:ascii="Arial" w:cs="Arial" w:eastAsia="Arial" w:hAnsi="Arial"/>
          <w:color w:val="333333"/>
          <w:sz w:val="21"/>
          <w:szCs w:val="21"/>
        </w:rPr>
        <w:t xml:space="preserve">→ supporting references on NV Privacy cluster</w:t>
      </w:r>
    </w:p>
    <w:p>
      <w:pPr>
        <w:pStyle w:val="Heading2"/>
        <w:spacing w:after="160" w:before="280"/>
      </w:pPr>
      <w:r>
        <w:rPr>
          <w:rFonts w:ascii="Arial" w:cs="Arial" w:eastAsia="Arial" w:hAnsi="Arial"/>
          <w:b/>
          <w:bCs/>
          <w:color w:val="2E86C1"/>
          <w:sz w:val="26"/>
          <w:szCs w:val="26"/>
        </w:rPr>
        <w:t xml:space="preserve">7.2 Asset Protection Pillar (receives content from ~30 current URLs)</w:t>
      </w:r>
    </w:p>
    <w:p>
      <w:pPr>
        <w:pStyle w:val="ListParagraph"/>
        <w:numPr>
          <w:ilvl w:val="0"/>
          <w:numId w:val="2"/>
        </w:numPr>
        <w:spacing w:after="60" w:line="276"/>
      </w:pPr>
      <w:r>
        <w:rPr>
          <w:rFonts w:ascii="Arial" w:cs="Arial" w:eastAsia="Arial" w:hAnsi="Arial"/>
          <w:b/>
          <w:bCs/>
          <w:color w:val="333333"/>
          <w:sz w:val="21"/>
          <w:szCs w:val="21"/>
        </w:rPr>
        <w:t xml:space="preserve">/asset-protection/ </w:t>
      </w:r>
      <w:r>
        <w:rPr>
          <w:rFonts w:ascii="Arial" w:cs="Arial" w:eastAsia="Arial" w:hAnsi="Arial"/>
          <w:color w:val="333333"/>
          <w:sz w:val="21"/>
          <w:szCs w:val="21"/>
        </w:rPr>
        <w:t xml:space="preserve">→ /asset-protection/ pillar hub (expanded)</w:t>
      </w:r>
    </w:p>
    <w:p>
      <w:pPr>
        <w:pStyle w:val="ListParagraph"/>
        <w:numPr>
          <w:ilvl w:val="0"/>
          <w:numId w:val="2"/>
        </w:numPr>
        <w:spacing w:after="60" w:line="276"/>
      </w:pPr>
      <w:r>
        <w:rPr>
          <w:rFonts w:ascii="Arial" w:cs="Arial" w:eastAsia="Arial" w:hAnsi="Arial"/>
          <w:b/>
          <w:bCs/>
          <w:color w:val="333333"/>
          <w:sz w:val="21"/>
          <w:szCs w:val="21"/>
        </w:rPr>
        <w:t xml:space="preserve">/asset-protection/nevada-asset-protection </w:t>
      </w:r>
      <w:r>
        <w:rPr>
          <w:rFonts w:ascii="Arial" w:cs="Arial" w:eastAsia="Arial" w:hAnsi="Arial"/>
          <w:color w:val="333333"/>
          <w:sz w:val="21"/>
          <w:szCs w:val="21"/>
        </w:rPr>
        <w:t xml:space="preserve">→ /nevada-asset-protection/ (expanded cluster)</w:t>
      </w:r>
    </w:p>
    <w:p>
      <w:pPr>
        <w:pStyle w:val="ListParagraph"/>
        <w:numPr>
          <w:ilvl w:val="0"/>
          <w:numId w:val="2"/>
        </w:numPr>
        <w:spacing w:after="60" w:line="276"/>
      </w:pPr>
      <w:r>
        <w:rPr>
          <w:rFonts w:ascii="Arial" w:cs="Arial" w:eastAsia="Arial" w:hAnsi="Arial"/>
          <w:b/>
          <w:bCs/>
          <w:color w:val="333333"/>
          <w:sz w:val="21"/>
          <w:szCs w:val="21"/>
        </w:rPr>
        <w:t xml:space="preserve">/asset-protection/investment-holding-llc + /learning-center/investment-holding-llc </w:t>
      </w:r>
      <w:r>
        <w:rPr>
          <w:rFonts w:ascii="Arial" w:cs="Arial" w:eastAsia="Arial" w:hAnsi="Arial"/>
          <w:color w:val="333333"/>
          <w:sz w:val="21"/>
          <w:szCs w:val="21"/>
        </w:rPr>
        <w:t xml:space="preserve">→ /investment-holding-llc/ (merged and expanded)</w:t>
      </w:r>
    </w:p>
    <w:p>
      <w:pPr>
        <w:pStyle w:val="ListParagraph"/>
        <w:numPr>
          <w:ilvl w:val="0"/>
          <w:numId w:val="2"/>
        </w:numPr>
        <w:spacing w:after="60" w:line="276"/>
      </w:pPr>
      <w:r>
        <w:rPr>
          <w:rFonts w:ascii="Arial" w:cs="Arial" w:eastAsia="Arial" w:hAnsi="Arial"/>
          <w:b/>
          <w:bCs/>
          <w:color w:val="333333"/>
          <w:sz w:val="21"/>
          <w:szCs w:val="21"/>
        </w:rPr>
        <w:t xml:space="preserve">/asset-protection/offshore-asset-protection </w:t>
      </w:r>
      <w:r>
        <w:rPr>
          <w:rFonts w:ascii="Arial" w:cs="Arial" w:eastAsia="Arial" w:hAnsi="Arial"/>
          <w:color w:val="333333"/>
          <w:sz w:val="21"/>
          <w:szCs w:val="21"/>
        </w:rPr>
        <w:t xml:space="preserve">→ AP concepts to pillar; offshore details to /offshore/</w:t>
      </w:r>
    </w:p>
    <w:p>
      <w:pPr>
        <w:pStyle w:val="ListParagraph"/>
        <w:numPr>
          <w:ilvl w:val="0"/>
          <w:numId w:val="2"/>
        </w:numPr>
        <w:spacing w:after="60" w:line="276"/>
      </w:pPr>
      <w:r>
        <w:rPr>
          <w:rFonts w:ascii="Arial" w:cs="Arial" w:eastAsia="Arial" w:hAnsi="Arial"/>
          <w:b/>
          <w:bCs/>
          <w:color w:val="333333"/>
          <w:sz w:val="21"/>
          <w:szCs w:val="21"/>
        </w:rPr>
        <w:t xml:space="preserve">NRS 86.401, case law, charging order content </w:t>
      </w:r>
      <w:r>
        <w:rPr>
          <w:rFonts w:ascii="Arial" w:cs="Arial" w:eastAsia="Arial" w:hAnsi="Arial"/>
          <w:color w:val="333333"/>
          <w:sz w:val="21"/>
          <w:szCs w:val="21"/>
        </w:rPr>
        <w:t xml:space="preserve">→ /charging-order-protection/ (new cluster)</w:t>
      </w:r>
    </w:p>
    <w:p>
      <w:pPr>
        <w:pStyle w:val="ListParagraph"/>
        <w:numPr>
          <w:ilvl w:val="0"/>
          <w:numId w:val="2"/>
        </w:numPr>
        <w:spacing w:after="60" w:line="276"/>
      </w:pPr>
      <w:r>
        <w:rPr>
          <w:rFonts w:ascii="Arial" w:cs="Arial" w:eastAsia="Arial" w:hAnsi="Arial"/>
          <w:b/>
          <w:bCs/>
          <w:color w:val="333333"/>
          <w:sz w:val="21"/>
          <w:szCs w:val="21"/>
        </w:rPr>
        <w:t xml:space="preserve">LC items on asset protection, liability, veil piercing </w:t>
      </w:r>
      <w:r>
        <w:rPr>
          <w:rFonts w:ascii="Arial" w:cs="Arial" w:eastAsia="Arial" w:hAnsi="Arial"/>
          <w:color w:val="333333"/>
          <w:sz w:val="21"/>
          <w:szCs w:val="21"/>
        </w:rPr>
        <w:t xml:space="preserve">→ FAQ sections on AP pillar and cluster pages</w:t>
      </w:r>
    </w:p>
    <w:p>
      <w:pPr>
        <w:pStyle w:val="Heading2"/>
        <w:spacing w:after="160" w:before="280"/>
      </w:pPr>
      <w:r>
        <w:rPr>
          <w:rFonts w:ascii="Arial" w:cs="Arial" w:eastAsia="Arial" w:hAnsi="Arial"/>
          <w:b/>
          <w:bCs/>
          <w:color w:val="2E86C1"/>
          <w:sz w:val="26"/>
          <w:szCs w:val="26"/>
        </w:rPr>
        <w:t xml:space="preserve">7.3 Formation Pillar (receives content from ~35 current URLs)</w:t>
      </w:r>
    </w:p>
    <w:p>
      <w:pPr>
        <w:pStyle w:val="ListParagraph"/>
        <w:numPr>
          <w:ilvl w:val="0"/>
          <w:numId w:val="2"/>
        </w:numPr>
        <w:spacing w:after="60" w:line="276"/>
      </w:pPr>
      <w:r>
        <w:rPr>
          <w:rFonts w:ascii="Arial" w:cs="Arial" w:eastAsia="Arial" w:hAnsi="Arial"/>
          <w:b/>
          <w:bCs/>
          <w:color w:val="333333"/>
          <w:sz w:val="21"/>
          <w:szCs w:val="21"/>
        </w:rPr>
        <w:t xml:space="preserve">/services/nevada-incorporation </w:t>
      </w:r>
      <w:r>
        <w:rPr>
          <w:rFonts w:ascii="Arial" w:cs="Arial" w:eastAsia="Arial" w:hAnsi="Arial"/>
          <w:color w:val="333333"/>
          <w:sz w:val="21"/>
          <w:szCs w:val="21"/>
        </w:rPr>
        <w:t xml:space="preserve">→ splits into /nevada-llc/ and /nevada-corporation/ clusters</w:t>
      </w:r>
    </w:p>
    <w:p>
      <w:pPr>
        <w:pStyle w:val="ListParagraph"/>
        <w:numPr>
          <w:ilvl w:val="0"/>
          <w:numId w:val="2"/>
        </w:numPr>
        <w:spacing w:after="60" w:line="276"/>
      </w:pPr>
      <w:r>
        <w:rPr>
          <w:rFonts w:ascii="Arial" w:cs="Arial" w:eastAsia="Arial" w:hAnsi="Arial"/>
          <w:b/>
          <w:bCs/>
          <w:color w:val="333333"/>
          <w:sz w:val="21"/>
          <w:szCs w:val="21"/>
        </w:rPr>
        <w:t xml:space="preserve">/services/llc-operating-agreement </w:t>
      </w:r>
      <w:r>
        <w:rPr>
          <w:rFonts w:ascii="Arial" w:cs="Arial" w:eastAsia="Arial" w:hAnsi="Arial"/>
          <w:color w:val="333333"/>
          <w:sz w:val="21"/>
          <w:szCs w:val="21"/>
        </w:rPr>
        <w:t xml:space="preserve">→ content moves to /wyoming-llc/ and /nevada-llc/</w:t>
      </w:r>
    </w:p>
    <w:p>
      <w:pPr>
        <w:pStyle w:val="ListParagraph"/>
        <w:numPr>
          <w:ilvl w:val="0"/>
          <w:numId w:val="2"/>
        </w:numPr>
        <w:spacing w:after="60" w:line="276"/>
      </w:pPr>
      <w:r>
        <w:rPr>
          <w:rFonts w:ascii="Arial" w:cs="Arial" w:eastAsia="Arial" w:hAnsi="Arial"/>
          <w:b/>
          <w:bCs/>
          <w:color w:val="333333"/>
          <w:sz w:val="21"/>
          <w:szCs w:val="21"/>
        </w:rPr>
        <w:t xml:space="preserve">/services/shares (par value) </w:t>
      </w:r>
      <w:r>
        <w:rPr>
          <w:rFonts w:ascii="Arial" w:cs="Arial" w:eastAsia="Arial" w:hAnsi="Arial"/>
          <w:color w:val="333333"/>
          <w:sz w:val="21"/>
          <w:szCs w:val="21"/>
        </w:rPr>
        <w:t xml:space="preserve">→ inline content on Corporation cluster pages</w:t>
      </w:r>
    </w:p>
    <w:p>
      <w:pPr>
        <w:pStyle w:val="ListParagraph"/>
        <w:numPr>
          <w:ilvl w:val="0"/>
          <w:numId w:val="2"/>
        </w:numPr>
        <w:spacing w:after="60" w:line="276"/>
      </w:pPr>
      <w:r>
        <w:rPr>
          <w:rFonts w:ascii="Arial" w:cs="Arial" w:eastAsia="Arial" w:hAnsi="Arial"/>
          <w:b/>
          <w:bCs/>
          <w:color w:val="333333"/>
          <w:sz w:val="21"/>
          <w:szCs w:val="21"/>
        </w:rPr>
        <w:t xml:space="preserve">LC categories 12, 14, 17, 43, 55 (formation/taxation topics) </w:t>
      </w:r>
      <w:r>
        <w:rPr>
          <w:rFonts w:ascii="Arial" w:cs="Arial" w:eastAsia="Arial" w:hAnsi="Arial"/>
          <w:color w:val="333333"/>
          <w:sz w:val="21"/>
          <w:szCs w:val="21"/>
        </w:rPr>
        <w:t xml:space="preserve">→ Formation pillar and cluster FAQ sections</w:t>
      </w:r>
    </w:p>
    <w:p>
      <w:pPr>
        <w:pStyle w:val="ListParagraph"/>
        <w:numPr>
          <w:ilvl w:val="0"/>
          <w:numId w:val="2"/>
        </w:numPr>
        <w:spacing w:after="60" w:line="276"/>
      </w:pPr>
      <w:r>
        <w:rPr>
          <w:rFonts w:ascii="Arial" w:cs="Arial" w:eastAsia="Arial" w:hAnsi="Arial"/>
          <w:b/>
          <w:bCs/>
          <w:color w:val="333333"/>
          <w:sz w:val="21"/>
          <w:szCs w:val="21"/>
        </w:rPr>
        <w:t xml:space="preserve">NRS formation statutes </w:t>
      </w:r>
      <w:r>
        <w:rPr>
          <w:rFonts w:ascii="Arial" w:cs="Arial" w:eastAsia="Arial" w:hAnsi="Arial"/>
          <w:color w:val="333333"/>
          <w:sz w:val="21"/>
          <w:szCs w:val="21"/>
        </w:rPr>
        <w:t xml:space="preserve">→ supporting references on LLC and Corp cluster pages</w:t>
      </w:r>
    </w:p>
    <w:p>
      <w:pPr>
        <w:pStyle w:val="Heading2"/>
        <w:spacing w:after="160" w:before="280"/>
      </w:pPr>
      <w:r>
        <w:rPr>
          <w:rFonts w:ascii="Arial" w:cs="Arial" w:eastAsia="Arial" w:hAnsi="Arial"/>
          <w:b/>
          <w:bCs/>
          <w:color w:val="2E86C1"/>
          <w:sz w:val="26"/>
          <w:szCs w:val="26"/>
        </w:rPr>
        <w:t xml:space="preserve">7.4 Compliance Pillar (receives content from ~15 current URLs)</w:t>
      </w:r>
    </w:p>
    <w:p>
      <w:pPr>
        <w:pStyle w:val="ListParagraph"/>
        <w:numPr>
          <w:ilvl w:val="0"/>
          <w:numId w:val="2"/>
        </w:numPr>
        <w:spacing w:after="60" w:line="276"/>
      </w:pPr>
      <w:r>
        <w:rPr>
          <w:rFonts w:ascii="Arial" w:cs="Arial" w:eastAsia="Arial" w:hAnsi="Arial"/>
          <w:b/>
          <w:bCs/>
          <w:color w:val="333333"/>
          <w:sz w:val="21"/>
          <w:szCs w:val="21"/>
        </w:rPr>
        <w:t xml:space="preserve">/services/registered-agent </w:t>
      </w:r>
      <w:r>
        <w:rPr>
          <w:rFonts w:ascii="Arial" w:cs="Arial" w:eastAsia="Arial" w:hAnsi="Arial"/>
          <w:color w:val="333333"/>
          <w:sz w:val="21"/>
          <w:szCs w:val="21"/>
        </w:rPr>
        <w:t xml:space="preserve">→ /registered-agent/ main cluster page (expanded)</w:t>
      </w:r>
    </w:p>
    <w:p>
      <w:pPr>
        <w:pStyle w:val="ListParagraph"/>
        <w:numPr>
          <w:ilvl w:val="0"/>
          <w:numId w:val="2"/>
        </w:numPr>
        <w:spacing w:after="60" w:line="276"/>
      </w:pPr>
      <w:r>
        <w:rPr>
          <w:rFonts w:ascii="Arial" w:cs="Arial" w:eastAsia="Arial" w:hAnsi="Arial"/>
          <w:b/>
          <w:bCs/>
          <w:color w:val="333333"/>
          <w:sz w:val="21"/>
          <w:szCs w:val="21"/>
        </w:rPr>
        <w:t xml:space="preserve">/services/renewal-packages </w:t>
      </w:r>
      <w:r>
        <w:rPr>
          <w:rFonts w:ascii="Arial" w:cs="Arial" w:eastAsia="Arial" w:hAnsi="Arial"/>
          <w:color w:val="333333"/>
          <w:sz w:val="21"/>
          <w:szCs w:val="21"/>
        </w:rPr>
        <w:t xml:space="preserve">→ /annual-reports/ cluster page (migrated and expanded)</w:t>
      </w:r>
    </w:p>
    <w:p>
      <w:pPr>
        <w:pStyle w:val="ListParagraph"/>
        <w:numPr>
          <w:ilvl w:val="0"/>
          <w:numId w:val="2"/>
        </w:numPr>
        <w:spacing w:after="60" w:line="276"/>
      </w:pPr>
      <w:r>
        <w:rPr>
          <w:rFonts w:ascii="Arial" w:cs="Arial" w:eastAsia="Arial" w:hAnsi="Arial"/>
          <w:b/>
          <w:bCs/>
          <w:color w:val="333333"/>
          <w:sz w:val="21"/>
          <w:szCs w:val="21"/>
        </w:rPr>
        <w:t xml:space="preserve">/services/state-filing + /services/2nd-tier-state-filings + /services/foreign-state-filing </w:t>
      </w:r>
      <w:r>
        <w:rPr>
          <w:rFonts w:ascii="Arial" w:cs="Arial" w:eastAsia="Arial" w:hAnsi="Arial"/>
          <w:color w:val="333333"/>
          <w:sz w:val="21"/>
          <w:szCs w:val="21"/>
        </w:rPr>
        <w:t xml:space="preserve">→ /foreign-state-registration/ (consolidated)</w:t>
      </w:r>
    </w:p>
    <w:p>
      <w:pPr>
        <w:pStyle w:val="ListParagraph"/>
        <w:numPr>
          <w:ilvl w:val="0"/>
          <w:numId w:val="2"/>
        </w:numPr>
        <w:spacing w:after="60" w:line="276"/>
      </w:pPr>
      <w:r>
        <w:rPr>
          <w:rFonts w:ascii="Arial" w:cs="Arial" w:eastAsia="Arial" w:hAnsi="Arial"/>
          <w:b/>
          <w:bCs/>
          <w:color w:val="333333"/>
          <w:sz w:val="21"/>
          <w:szCs w:val="21"/>
        </w:rPr>
        <w:t xml:space="preserve">/services/records-only </w:t>
      </w:r>
      <w:r>
        <w:rPr>
          <w:rFonts w:ascii="Arial" w:cs="Arial" w:eastAsia="Arial" w:hAnsi="Arial"/>
          <w:color w:val="333333"/>
          <w:sz w:val="21"/>
          <w:szCs w:val="21"/>
        </w:rPr>
        <w:t xml:space="preserve">→ content feeds into Compliance pillar hub</w:t>
      </w:r>
    </w:p>
    <w:p>
      <w:pPr>
        <w:pStyle w:val="ListParagraph"/>
        <w:numPr>
          <w:ilvl w:val="0"/>
          <w:numId w:val="2"/>
        </w:numPr>
        <w:spacing w:after="60" w:line="276"/>
      </w:pPr>
      <w:r>
        <w:rPr>
          <w:rFonts w:ascii="Arial" w:cs="Arial" w:eastAsia="Arial" w:hAnsi="Arial"/>
          <w:b/>
          <w:bCs/>
          <w:color w:val="333333"/>
          <w:sz w:val="21"/>
          <w:szCs w:val="21"/>
        </w:rPr>
        <w:t xml:space="preserve">NRS 92A.270 </w:t>
      </w:r>
      <w:r>
        <w:rPr>
          <w:rFonts w:ascii="Arial" w:cs="Arial" w:eastAsia="Arial" w:hAnsi="Arial"/>
          <w:color w:val="333333"/>
          <w:sz w:val="21"/>
          <w:szCs w:val="21"/>
        </w:rPr>
        <w:t xml:space="preserve">→ /domestication/ cluster page reference</w:t>
      </w:r>
    </w:p>
    <w:p>
      <w:pPr>
        <w:pStyle w:val="Heading1"/>
        <w:pBdr>
          <w:bottom w:val="single" w:color="2E86C1" w:sz="3" w:space="4"/>
        </w:pBdr>
        <w:spacing w:after="200" w:before="360"/>
      </w:pPr>
      <w:r>
        <w:rPr>
          <w:rFonts w:ascii="Arial" w:cs="Arial" w:eastAsia="Arial" w:hAnsi="Arial"/>
          <w:b/>
          <w:bCs/>
          <w:color w:val="1B4F72"/>
          <w:sz w:val="32"/>
          <w:szCs w:val="32"/>
        </w:rPr>
        <w:t xml:space="preserve">8. Redirect Strategy</w:t>
      </w:r>
    </w:p>
    <w:p>
      <w:pPr>
        <w:spacing w:after="120" w:line="276"/>
      </w:pPr>
      <w:r>
        <w:rPr>
          <w:rFonts w:ascii="Arial" w:cs="Arial" w:eastAsia="Arial" w:hAnsi="Arial"/>
          <w:color w:val="333333"/>
          <w:sz w:val="21"/>
          <w:szCs w:val="21"/>
        </w:rPr>
        <w:t xml:space="preserve">The redirect map contains 117 individual redirect rules and 4 pattern-based rules. Redirects are prioritized by inlink weight to ensure the highest-authority URLs receive the most careful mapping.</w:t>
      </w:r>
    </w:p>
    <w:p>
      <w:pPr>
        <w:spacing w:after="60" w:before="60"/>
      </w:pPr>
    </w:p>
    <w:p>
      <w:pPr>
        <w:pStyle w:val="Heading2"/>
        <w:spacing w:after="160" w:before="280"/>
      </w:pPr>
      <w:r>
        <w:rPr>
          <w:rFonts w:ascii="Arial" w:cs="Arial" w:eastAsia="Arial" w:hAnsi="Arial"/>
          <w:b/>
          <w:bCs/>
          <w:color w:val="2E86C1"/>
          <w:sz w:val="26"/>
          <w:szCs w:val="26"/>
        </w:rPr>
        <w:t xml:space="preserve">8.1 Priority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c>
          <w:tcPr>
            <w:tcW w:type="dxa" w:w="18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14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Inlink Threshold</w:t>
            </w:r>
          </w:p>
        </w:tc>
        <w:tc>
          <w:tcPr>
            <w:tcW w:type="dxa" w:w="24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376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180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b/>
                <w:bCs/>
                <w:color w:val="333333"/>
                <w:sz w:val="20"/>
                <w:szCs w:val="20"/>
              </w:rPr>
              <w:t xml:space="preserve">Critical</w:t>
            </w:r>
          </w:p>
        </w:tc>
        <w:tc>
          <w:tcPr>
            <w:tcW w:type="dxa" w:w="140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color w:val="333333"/>
                <w:sz w:val="20"/>
                <w:szCs w:val="20"/>
              </w:rPr>
              <w:t xml:space="preserve">&gt;300 inlinks</w:t>
            </w:r>
          </w:p>
        </w:tc>
        <w:tc>
          <w:tcPr>
            <w:tcW w:type="dxa" w:w="240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color w:val="333333"/>
                <w:sz w:val="20"/>
                <w:szCs w:val="20"/>
              </w:rPr>
              <w:t xml:space="preserve">10 URLs</w:t>
            </w:r>
          </w:p>
        </w:tc>
        <w:tc>
          <w:tcPr>
            <w:tcW w:type="dxa" w:w="3760"/>
            <w:tcBorders>
              <w:top w:val="single" w:color="BDC3C7" w:sz="1"/>
              <w:left w:val="single" w:color="BDC3C7" w:sz="1"/>
              <w:bottom w:val="single" w:color="BDC3C7" w:sz="1"/>
              <w:right w:val="single" w:color="BDC3C7" w:sz="1"/>
            </w:tcBorders>
            <w:shd w:fill="FFCDD2" w:color="auto" w:val="clear"/>
            <w:tcMar>
              <w:top w:type="dxa" w:w="80"/>
              <w:left w:type="dxa" w:w="120"/>
              <w:bottom w:type="dxa" w:w="80"/>
              <w:right w:type="dxa" w:w="120"/>
            </w:tcMar>
          </w:tcPr>
          <w:p>
            <w:r>
              <w:rPr>
                <w:rFonts w:ascii="Arial" w:cs="Arial" w:eastAsia="Arial" w:hAnsi="Arial"/>
                <w:color w:val="333333"/>
                <w:sz w:val="20"/>
                <w:szCs w:val="20"/>
              </w:rPr>
              <w:t xml:space="preserve">Hand-mapped with exact destination. Tested individually post-launch</w:t>
            </w:r>
          </w:p>
        </w:tc>
      </w:tr>
      <w:tr>
        <w:tc>
          <w:tcPr>
            <w:tcW w:type="dxa" w:w="18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b/>
                <w:bCs/>
                <w:color w:val="333333"/>
                <w:sz w:val="20"/>
                <w:szCs w:val="20"/>
              </w:rPr>
              <w:t xml:space="preserve">High</w:t>
            </w:r>
          </w:p>
        </w:tc>
        <w:tc>
          <w:tcPr>
            <w:tcW w:type="dxa" w:w="14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51–300 inlinks</w:t>
            </w:r>
          </w:p>
        </w:tc>
        <w:tc>
          <w:tcPr>
            <w:tcW w:type="dxa" w:w="240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~15 URLs</w:t>
            </w:r>
          </w:p>
        </w:tc>
        <w:tc>
          <w:tcPr>
            <w:tcW w:type="dxa" w:w="3760"/>
            <w:tcBorders>
              <w:top w:val="single" w:color="BDC3C7" w:sz="1"/>
              <w:left w:val="single" w:color="BDC3C7" w:sz="1"/>
              <w:bottom w:val="single" w:color="BDC3C7" w:sz="1"/>
              <w:right w:val="single" w:color="BDC3C7" w:sz="1"/>
            </w:tcBorders>
            <w:shd w:fill="FFE0B2" w:color="auto" w:val="clear"/>
            <w:tcMar>
              <w:top w:type="dxa" w:w="80"/>
              <w:left w:type="dxa" w:w="120"/>
              <w:bottom w:type="dxa" w:w="80"/>
              <w:right w:type="dxa" w:w="120"/>
            </w:tcMar>
          </w:tcPr>
          <w:p>
            <w:r>
              <w:rPr>
                <w:rFonts w:ascii="Arial" w:cs="Arial" w:eastAsia="Arial" w:hAnsi="Arial"/>
                <w:color w:val="333333"/>
                <w:sz w:val="20"/>
                <w:szCs w:val="20"/>
              </w:rPr>
              <w:t xml:space="preserve">Hand-mapped. Tested in staging</w:t>
            </w:r>
          </w:p>
        </w:tc>
      </w:tr>
      <w:tr>
        <w:tc>
          <w:tcPr>
            <w:tcW w:type="dxa" w:w="180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b/>
                <w:bCs/>
                <w:color w:val="333333"/>
                <w:sz w:val="20"/>
                <w:szCs w:val="20"/>
              </w:rPr>
              <w:t xml:space="preserve">Medium</w:t>
            </w:r>
          </w:p>
        </w:tc>
        <w:tc>
          <w:tcPr>
            <w:tcW w:type="dxa" w:w="140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color w:val="333333"/>
                <w:sz w:val="20"/>
                <w:szCs w:val="20"/>
              </w:rPr>
              <w:t xml:space="preserve">11–50 inlinks</w:t>
            </w:r>
          </w:p>
        </w:tc>
        <w:tc>
          <w:tcPr>
            <w:tcW w:type="dxa" w:w="240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color w:val="333333"/>
                <w:sz w:val="20"/>
                <w:szCs w:val="20"/>
              </w:rPr>
              <w:t xml:space="preserve">~40 URLs</w:t>
            </w:r>
          </w:p>
        </w:tc>
        <w:tc>
          <w:tcPr>
            <w:tcW w:type="dxa" w:w="3760"/>
            <w:tcBorders>
              <w:top w:val="single" w:color="BDC3C7" w:sz="1"/>
              <w:left w:val="single" w:color="BDC3C7" w:sz="1"/>
              <w:bottom w:val="single" w:color="BDC3C7" w:sz="1"/>
              <w:right w:val="single" w:color="BDC3C7" w:sz="1"/>
            </w:tcBorders>
            <w:shd w:fill="FFF9C4" w:color="auto" w:val="clear"/>
            <w:tcMar>
              <w:top w:type="dxa" w:w="80"/>
              <w:left w:type="dxa" w:w="120"/>
              <w:bottom w:type="dxa" w:w="80"/>
              <w:right w:type="dxa" w:w="120"/>
            </w:tcMar>
          </w:tcPr>
          <w:p>
            <w:r>
              <w:rPr>
                <w:rFonts w:ascii="Arial" w:cs="Arial" w:eastAsia="Arial" w:hAnsi="Arial"/>
                <w:color w:val="333333"/>
                <w:sz w:val="20"/>
                <w:szCs w:val="20"/>
              </w:rPr>
              <w:t xml:space="preserve">Hand-mapped. Bulk verified post-launch</w:t>
            </w:r>
          </w:p>
        </w:tc>
      </w:tr>
      <w:tr>
        <w:tc>
          <w:tcPr>
            <w:tcW w:type="dxa" w:w="1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Low</w:t>
            </w:r>
          </w:p>
        </w:tc>
        <w:tc>
          <w:tcPr>
            <w:tcW w:type="dxa" w:w="1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≤10 inlinks</w:t>
            </w:r>
          </w:p>
        </w:tc>
        <w:tc>
          <w:tcPr>
            <w:tcW w:type="dxa" w:w="24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~50 URLs</w:t>
            </w:r>
          </w:p>
        </w:tc>
        <w:tc>
          <w:tcPr>
            <w:tcW w:type="dxa" w:w="376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Hand-mapped. Spot-checked post-launch</w:t>
            </w:r>
          </w:p>
        </w:tc>
      </w:tr>
      <w:tr>
        <w:tc>
          <w:tcPr>
            <w:tcW w:type="dxa" w:w="1800"/>
            <w:tcBorders>
              <w:top w:val="single" w:color="BDC3C7" w:sz="1"/>
              <w:left w:val="single" w:color="BDC3C7" w:sz="1"/>
              <w:bottom w:val="single" w:color="BDC3C7" w:sz="1"/>
              <w:right w:val="single" w:color="BDC3C7" w:sz="1"/>
            </w:tcBorders>
            <w:shd w:fill="E1BEE7" w:color="auto" w:val="clear"/>
            <w:tcMar>
              <w:top w:type="dxa" w:w="80"/>
              <w:left w:type="dxa" w:w="120"/>
              <w:bottom w:type="dxa" w:w="80"/>
              <w:right w:type="dxa" w:w="120"/>
            </w:tcMar>
          </w:tcPr>
          <w:p>
            <w:r>
              <w:rPr>
                <w:rFonts w:ascii="Arial" w:cs="Arial" w:eastAsia="Arial" w:hAnsi="Arial"/>
                <w:b/>
                <w:bCs/>
                <w:color w:val="333333"/>
                <w:sz w:val="20"/>
                <w:szCs w:val="20"/>
              </w:rPr>
              <w:t xml:space="preserve">Bulk (Pattern)</w:t>
            </w:r>
          </w:p>
        </w:tc>
        <w:tc>
          <w:tcPr>
            <w:tcW w:type="dxa" w:w="1400"/>
            <w:tcBorders>
              <w:top w:val="single" w:color="BDC3C7" w:sz="1"/>
              <w:left w:val="single" w:color="BDC3C7" w:sz="1"/>
              <w:bottom w:val="single" w:color="BDC3C7" w:sz="1"/>
              <w:right w:val="single" w:color="BDC3C7" w:sz="1"/>
            </w:tcBorders>
            <w:shd w:fill="E1BEE7" w:color="auto"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400"/>
            <w:tcBorders>
              <w:top w:val="single" w:color="BDC3C7" w:sz="1"/>
              <w:left w:val="single" w:color="BDC3C7" w:sz="1"/>
              <w:bottom w:val="single" w:color="BDC3C7" w:sz="1"/>
              <w:right w:val="single" w:color="BDC3C7" w:sz="1"/>
            </w:tcBorders>
            <w:shd w:fill="E1BEE7" w:color="auto" w:val="clear"/>
            <w:tcMar>
              <w:top w:type="dxa" w:w="80"/>
              <w:left w:type="dxa" w:w="120"/>
              <w:bottom w:type="dxa" w:w="80"/>
              <w:right w:type="dxa" w:w="120"/>
            </w:tcMar>
          </w:tcPr>
          <w:p>
            <w:r>
              <w:rPr>
                <w:rFonts w:ascii="Arial" w:cs="Arial" w:eastAsia="Arial" w:hAnsi="Arial"/>
                <w:color w:val="333333"/>
                <w:sz w:val="20"/>
                <w:szCs w:val="20"/>
              </w:rPr>
              <w:t xml:space="preserve">~230+ URLs (4 rules)</w:t>
            </w:r>
          </w:p>
        </w:tc>
        <w:tc>
          <w:tcPr>
            <w:tcW w:type="dxa" w:w="3760"/>
            <w:tcBorders>
              <w:top w:val="single" w:color="BDC3C7" w:sz="1"/>
              <w:left w:val="single" w:color="BDC3C7" w:sz="1"/>
              <w:bottom w:val="single" w:color="BDC3C7" w:sz="1"/>
              <w:right w:val="single" w:color="BDC3C7" w:sz="1"/>
            </w:tcBorders>
            <w:shd w:fill="E1BEE7" w:color="auto" w:val="clear"/>
            <w:tcMar>
              <w:top w:type="dxa" w:w="80"/>
              <w:left w:type="dxa" w:w="120"/>
              <w:bottom w:type="dxa" w:w="80"/>
              <w:right w:type="dxa" w:w="120"/>
            </w:tcMar>
          </w:tcPr>
          <w:p>
            <w:r>
              <w:rPr>
                <w:rFonts w:ascii="Arial" w:cs="Arial" w:eastAsia="Arial" w:hAnsi="Arial"/>
                <w:color w:val="333333"/>
                <w:sz w:val="20"/>
                <w:szCs w:val="20"/>
              </w:rPr>
              <w:t xml:space="preserve">Regex-based rules for LC items, categories, SB60, and /order variants</w:t>
            </w:r>
          </w:p>
        </w:tc>
      </w:tr>
    </w:tbl>
    <w:p>
      <w:pPr>
        <w:spacing w:after="60" w:before="60"/>
      </w:pPr>
    </w:p>
    <w:p>
      <w:pPr>
        <w:pStyle w:val="Heading2"/>
        <w:spacing w:after="160" w:before="280"/>
      </w:pPr>
      <w:r>
        <w:rPr>
          <w:rFonts w:ascii="Arial" w:cs="Arial" w:eastAsia="Arial" w:hAnsi="Arial"/>
          <w:b/>
          <w:bCs/>
          <w:color w:val="2E86C1"/>
          <w:sz w:val="26"/>
          <w:szCs w:val="26"/>
        </w:rPr>
        <w:t xml:space="preserve">8.2 Pattern-Based Redirect Rules</w:t>
      </w:r>
    </w:p>
    <w:p>
      <w:pPr>
        <w:spacing w:after="120" w:line="276"/>
      </w:pPr>
      <w:r>
        <w:rPr>
          <w:rFonts w:ascii="Arial" w:cs="Arial" w:eastAsia="Arial" w:hAnsi="Arial"/>
          <w:color w:val="333333"/>
          <w:sz w:val="21"/>
          <w:szCs w:val="21"/>
        </w:rPr>
        <w:t xml:space="preserve">Four regex rules handle the bulk of the Learning Center and order page redirects:</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/learning-center/cat/*/item/* </w:t>
      </w:r>
      <w:r>
        <w:rPr>
          <w:rFonts w:ascii="Arial" w:cs="Arial" w:eastAsia="Arial" w:hAnsi="Arial"/>
          <w:color w:val="333333"/>
          <w:sz w:val="21"/>
          <w:szCs w:val="21"/>
        </w:rPr>
        <w:t xml:space="preserve">→ topic-based destination (assigned per FAQ consolidation plan). Items not individually mapped redirect to /faq/.</w:t>
      </w:r>
    </w:p>
    <w:p>
      <w:pPr>
        <w:pStyle w:val="ListParagraph"/>
        <w:numPr>
          <w:ilvl w:val="0"/>
          <w:numId w:val="2"/>
        </w:numPr>
        <w:spacing w:after="60" w:line="276"/>
      </w:pPr>
      <w:r>
        <w:rPr>
          <w:rFonts w:ascii="Arial" w:cs="Arial" w:eastAsia="Arial" w:hAnsi="Arial"/>
          <w:b/>
          <w:bCs/>
          <w:color w:val="333333"/>
          <w:sz w:val="21"/>
          <w:szCs w:val="21"/>
        </w:rPr>
        <w:t xml:space="preserve">/learning-center/cat/* </w:t>
      </w:r>
      <w:r>
        <w:rPr>
          <w:rFonts w:ascii="Arial" w:cs="Arial" w:eastAsia="Arial" w:hAnsi="Arial"/>
          <w:color w:val="333333"/>
          <w:sz w:val="21"/>
          <w:szCs w:val="21"/>
        </w:rPr>
        <w:t xml:space="preserve">→ /faq/ (category landing pages replaced by FAQ hub)</w:t>
      </w:r>
    </w:p>
    <w:p>
      <w:pPr>
        <w:pStyle w:val="ListParagraph"/>
        <w:numPr>
          <w:ilvl w:val="0"/>
          <w:numId w:val="2"/>
        </w:numPr>
        <w:spacing w:after="60" w:line="276"/>
      </w:pPr>
      <w:r>
        <w:rPr>
          <w:rFonts w:ascii="Arial" w:cs="Arial" w:eastAsia="Arial" w:hAnsi="Arial"/>
          <w:b/>
          <w:bCs/>
          <w:color w:val="333333"/>
          <w:sz w:val="21"/>
          <w:szCs w:val="21"/>
        </w:rPr>
        <w:t xml:space="preserve">/learning-center/sb60_2013_changes/* </w:t>
      </w:r>
      <w:r>
        <w:rPr>
          <w:rFonts w:ascii="Arial" w:cs="Arial" w:eastAsia="Arial" w:hAnsi="Arial"/>
          <w:color w:val="333333"/>
          <w:sz w:val="21"/>
          <w:szCs w:val="21"/>
        </w:rPr>
        <w:t xml:space="preserve">→ /faq/ (outdated legislation pages)</w:t>
      </w:r>
    </w:p>
    <w:p>
      <w:pPr>
        <w:pStyle w:val="ListParagraph"/>
        <w:numPr>
          <w:ilvl w:val="0"/>
          <w:numId w:val="2"/>
        </w:numPr>
        <w:spacing w:after="60" w:line="276"/>
      </w:pPr>
      <w:r>
        <w:rPr>
          <w:rFonts w:ascii="Arial" w:cs="Arial" w:eastAsia="Arial" w:hAnsi="Arial"/>
          <w:b/>
          <w:bCs/>
          <w:color w:val="333333"/>
          <w:sz w:val="21"/>
          <w:szCs w:val="21"/>
        </w:rPr>
        <w:t xml:space="preserve">/order?* </w:t>
      </w:r>
      <w:r>
        <w:rPr>
          <w:rFonts w:ascii="Arial" w:cs="Arial" w:eastAsia="Arial" w:hAnsi="Arial"/>
          <w:color w:val="333333"/>
          <w:sz w:val="21"/>
          <w:szCs w:val="21"/>
        </w:rPr>
        <w:t xml:space="preserve">→ /checkout/ (all parameterized order variants)</w:t>
      </w:r>
    </w:p>
    <w:p>
      <w:pPr>
        <w:spacing w:after="60" w:before="60"/>
      </w:pPr>
    </w:p>
    <w:p>
      <w:pPr>
        <w:spacing w:after="120" w:line="276"/>
      </w:pPr>
      <w:r>
        <w:rPr>
          <w:rFonts w:ascii="Arial" w:cs="Arial" w:eastAsia="Arial" w:hAnsi="Arial"/>
          <w:color w:val="333333"/>
          <w:sz w:val="21"/>
          <w:szCs w:val="21"/>
        </w:rPr>
        <w:t xml:space="preserve">The redirect map is a draft that will be refined during development. The final version is tested in staging before launch and verified post-launch with automated crawl tools.</w:t>
      </w:r>
    </w:p>
    <w:p>
      <w:pPr>
        <w:pStyle w:val="Heading1"/>
        <w:pBdr>
          <w:bottom w:val="single" w:color="2E86C1" w:sz="3" w:space="4"/>
        </w:pBdr>
        <w:spacing w:after="200" w:before="360"/>
      </w:pPr>
      <w:r>
        <w:rPr>
          <w:rFonts w:ascii="Arial" w:cs="Arial" w:eastAsia="Arial" w:hAnsi="Arial"/>
          <w:b/>
          <w:bCs/>
          <w:color w:val="1B4F72"/>
          <w:sz w:val="32"/>
          <w:szCs w:val="32"/>
        </w:rPr>
        <w:t xml:space="preserve">9. Risks &amp; Mitigations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28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280"/>
            <w:tcBorders>
              <w:top w:val="single" w:color="BDC3C7" w:sz="1"/>
              <w:left w:val="single" w:color="BDC3C7" w:sz="1"/>
              <w:bottom w:val="single" w:color="BDC3C7" w:sz="1"/>
              <w:right w:val="single" w:color="BDC3C7" w:sz="1"/>
            </w:tcBorders>
            <w:shd w:fill="1B4F72" w:color="auto"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FAQ item misassignment</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FAQ content lands on the wrong pillar page, confusing users and diluting SEO</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Client review of FAQ assignments during content phase. Items can be reassigned without architectural changes</w:t>
            </w:r>
          </w:p>
        </w:tc>
      </w:tr>
      <w:tr>
        <w:tc>
          <w:tcPr>
            <w:tcW w:type="dxa" w:w="2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Missed redirect</w:t>
            </w:r>
          </w:p>
        </w:tc>
        <w:tc>
          <w:tcPr>
            <w:tcW w:type="dxa" w:w="32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404 errors for bookmarked URLs, lost search rankings for specific pages</w:t>
            </w:r>
          </w:p>
        </w:tc>
        <w:tc>
          <w:tcPr>
            <w:tcW w:type="dxa" w:w="32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Pre-launch crawl comparison (old vs. new sitemap). Post-launch 404 monitoring for 90 days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Cross-pillar content silos</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Users on Asset Protection pillar can’t find Privacy content and vice versa</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14 cross-pillar references explicitly defined. UX prototypes must include cross-pillar navigation patterns</w:t>
            </w:r>
          </w:p>
        </w:tc>
      </w:tr>
      <w:tr>
        <w:tc>
          <w:tcPr>
            <w:tcW w:type="dxa" w:w="280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b/>
                <w:bCs/>
                <w:color w:val="333333"/>
                <w:sz w:val="20"/>
                <w:szCs w:val="20"/>
              </w:rPr>
              <w:t xml:space="preserve">New page content gaps</w:t>
            </w:r>
          </w:p>
        </w:tc>
        <w:tc>
          <w:tcPr>
            <w:tcW w:type="dxa" w:w="32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33 new pages launch with thin or placeholder content</w:t>
            </w:r>
          </w:p>
        </w:tc>
        <w:tc>
          <w:tcPr>
            <w:tcW w:type="dxa" w:w="3280"/>
            <w:tcBorders>
              <w:top w:val="single" w:color="BDC3C7" w:sz="1"/>
              <w:left w:val="single" w:color="BDC3C7" w:sz="1"/>
              <w:bottom w:val="single" w:color="BDC3C7" w:sz="1"/>
              <w:right w:val="single" w:color="BDC3C7" w:sz="1"/>
            </w:tcBorders>
            <w:shd w:fill="F5F5F5" w:color="auto" w:val="clear"/>
            <w:tcMar>
              <w:top w:type="dxa" w:w="80"/>
              <w:left w:type="dxa" w:w="120"/>
              <w:bottom w:type="dxa" w:w="80"/>
              <w:right w:type="dxa" w:w="120"/>
            </w:tcMar>
          </w:tcPr>
          <w:p>
            <w:r>
              <w:rPr>
                <w:rFonts w:ascii="Arial" w:cs="Arial" w:eastAsia="Arial" w:hAnsi="Arial"/>
                <w:color w:val="333333"/>
                <w:sz w:val="20"/>
                <w:szCs w:val="20"/>
              </w:rPr>
              <w:t xml:space="preserve">P1/P2 phasing. 16 launch pages get full content briefs first. P2 pages can launch post-go-live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b/>
                <w:bCs/>
                <w:color w:val="333333"/>
                <w:sz w:val="20"/>
                <w:szCs w:val="20"/>
              </w:rPr>
              <w:t xml:space="preserve">Legal reference accuracy</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NRS statutes or case law cited incorrectly in new context</w:t>
            </w:r>
          </w:p>
        </w:tc>
        <w:tc>
          <w:tcPr>
            <w:tcW w:type="dxa" w:w="32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333333"/>
                <w:sz w:val="20"/>
                <w:szCs w:val="20"/>
              </w:rPr>
              <w:t xml:space="preserve">Client (David) reviews all legal references during content approval. Flag for attorney review if needed</w:t>
            </w:r>
          </w:p>
        </w:tc>
      </w:tr>
    </w:tbl>
    <w:p>
      <w:pPr>
        <w:pStyle w:val="Heading1"/>
        <w:pBdr>
          <w:bottom w:val="single" w:color="2E86C1" w:sz="3" w:space="4"/>
        </w:pBdr>
        <w:spacing w:after="200" w:before="360"/>
      </w:pPr>
      <w:r>
        <w:rPr>
          <w:rFonts w:ascii="Arial" w:cs="Arial" w:eastAsia="Arial" w:hAnsi="Arial"/>
          <w:b/>
          <w:bCs/>
          <w:color w:val="1B4F72"/>
          <w:sz w:val="32"/>
          <w:szCs w:val="32"/>
        </w:rPr>
        <w:t xml:space="preserve">10. Next Steps</w:t>
      </w:r>
    </w:p>
    <w:p>
      <w:pPr>
        <w:spacing w:after="60" w:before="60"/>
      </w:pPr>
    </w:p>
    <w:p>
      <w:pPr>
        <w:pStyle w:val="ListParagraph"/>
        <w:numPr>
          <w:ilvl w:val="0"/>
          <w:numId w:val="4"/>
        </w:numPr>
        <w:spacing w:after="100" w:line="276"/>
      </w:pPr>
      <w:r>
        <w:rPr>
          <w:rFonts w:ascii="Arial" w:cs="Arial" w:eastAsia="Arial" w:hAnsi="Arial"/>
          <w:b/>
          <w:bCs/>
          <w:color w:val="333333"/>
          <w:sz w:val="21"/>
          <w:szCs w:val="21"/>
        </w:rPr>
        <w:t xml:space="preserve">Client Review of Migration Map. </w:t>
      </w:r>
      <w:r>
        <w:rPr>
          <w:rFonts w:ascii="Arial" w:cs="Arial" w:eastAsia="Arial" w:hAnsi="Arial"/>
          <w:color w:val="333333"/>
          <w:sz w:val="21"/>
          <w:szCs w:val="21"/>
        </w:rPr>
        <w:t xml:space="preserve">David reviews the full mapping spreadsheet, paying particular attention to package page destinations, offshore content decisions, and FAQ category-to-pillar assignments. Target: 3–5 business days.</w:t>
      </w:r>
    </w:p>
    <w:p>
      <w:pPr>
        <w:pStyle w:val="ListParagraph"/>
        <w:numPr>
          <w:ilvl w:val="0"/>
          <w:numId w:val="4"/>
        </w:numPr>
        <w:spacing w:after="100" w:line="276"/>
      </w:pPr>
      <w:r>
        <w:rPr>
          <w:rFonts w:ascii="Arial" w:cs="Arial" w:eastAsia="Arial" w:hAnsi="Arial"/>
          <w:b/>
          <w:bCs/>
          <w:color w:val="333333"/>
          <w:sz w:val="21"/>
          <w:szCs w:val="21"/>
        </w:rPr>
        <w:t xml:space="preserve">Approve Site Architecture. </w:t>
      </w:r>
      <w:r>
        <w:rPr>
          <w:rFonts w:ascii="Arial" w:cs="Arial" w:eastAsia="Arial" w:hAnsi="Arial"/>
          <w:color w:val="333333"/>
          <w:sz w:val="21"/>
          <w:szCs w:val="21"/>
        </w:rPr>
        <w:t xml:space="preserve">With the migration map confirming viability, formal sign-off on the 71-page architecture. This is the Phase 1 milestone gate that unlocks UX &amp; Design.</w:t>
      </w:r>
    </w:p>
    <w:p>
      <w:pPr>
        <w:pStyle w:val="ListParagraph"/>
        <w:numPr>
          <w:ilvl w:val="0"/>
          <w:numId w:val="4"/>
        </w:numPr>
        <w:spacing w:after="100" w:line="276"/>
      </w:pPr>
      <w:r>
        <w:rPr>
          <w:rFonts w:ascii="Arial" w:cs="Arial" w:eastAsia="Arial" w:hAnsi="Arial"/>
          <w:b/>
          <w:bCs/>
          <w:color w:val="333333"/>
          <w:sz w:val="21"/>
          <w:szCs w:val="21"/>
        </w:rPr>
        <w:t xml:space="preserve">Begin UX Prototyping. </w:t>
      </w:r>
      <w:r>
        <w:rPr>
          <w:rFonts w:ascii="Arial" w:cs="Arial" w:eastAsia="Arial" w:hAnsi="Arial"/>
          <w:color w:val="333333"/>
          <w:sz w:val="21"/>
          <w:szCs w:val="21"/>
        </w:rPr>
        <w:t xml:space="preserve">Homepage and pillar page prototypes start immediately after architecture approval. The migration map informs information architecture, navigation structure, and content placement for every prototype.</w:t>
      </w:r>
    </w:p>
    <w:p>
      <w:pPr>
        <w:pStyle w:val="ListParagraph"/>
        <w:numPr>
          <w:ilvl w:val="0"/>
          <w:numId w:val="4"/>
        </w:numPr>
        <w:spacing w:after="100" w:line="276"/>
      </w:pPr>
      <w:r>
        <w:rPr>
          <w:rFonts w:ascii="Arial" w:cs="Arial" w:eastAsia="Arial" w:hAnsi="Arial"/>
          <w:b/>
          <w:bCs/>
          <w:color w:val="333333"/>
          <w:sz w:val="21"/>
          <w:szCs w:val="21"/>
        </w:rPr>
        <w:t xml:space="preserve">SEO Specification Preparation. </w:t>
      </w:r>
      <w:r>
        <w:rPr>
          <w:rFonts w:ascii="Arial" w:cs="Arial" w:eastAsia="Arial" w:hAnsi="Arial"/>
          <w:color w:val="333333"/>
          <w:sz w:val="21"/>
          <w:szCs w:val="21"/>
        </w:rPr>
        <w:t xml:space="preserve">The gap analysis and cross-pillar reference plan feed directly into the SEO specification work (Phase 3). Content briefs for the 33 new pages begin as soon as the architecture is locked.</w:t>
      </w:r>
    </w:p>
    <w:p>
      <w:pPr>
        <w:pStyle w:val="ListParagraph"/>
        <w:numPr>
          <w:ilvl w:val="0"/>
          <w:numId w:val="4"/>
        </w:numPr>
        <w:spacing w:after="100" w:line="276"/>
      </w:pPr>
      <w:r>
        <w:rPr>
          <w:rFonts w:ascii="Arial" w:cs="Arial" w:eastAsia="Arial" w:hAnsi="Arial"/>
          <w:b/>
          <w:bCs/>
          <w:color w:val="333333"/>
          <w:sz w:val="21"/>
          <w:szCs w:val="21"/>
        </w:rPr>
        <w:t xml:space="preserve">Finalize Redirect Map During Development. </w:t>
      </w:r>
      <w:r>
        <w:rPr>
          <w:rFonts w:ascii="Arial" w:cs="Arial" w:eastAsia="Arial" w:hAnsi="Arial"/>
          <w:color w:val="333333"/>
          <w:sz w:val="21"/>
          <w:szCs w:val="21"/>
        </w:rPr>
        <w:t xml:space="preserve">The draft redirect map is refined as development builds new URL routes. Individual FAQ item redirects are finalized during the FAQ consolidation content review.</w:t>
      </w:r>
    </w:p>
    <w:p>
      <w:pPr>
        <w:pStyle w:val="Heading1"/>
        <w:pBdr>
          <w:bottom w:val="single" w:color="2E86C1" w:sz="3" w:space="4"/>
        </w:pBdr>
        <w:spacing w:after="200" w:before="360"/>
      </w:pPr>
      <w:r>
        <w:rPr>
          <w:rFonts w:ascii="Arial" w:cs="Arial" w:eastAsia="Arial" w:hAnsi="Arial"/>
          <w:b/>
          <w:bCs/>
          <w:color w:val="1B4F72"/>
          <w:sz w:val="32"/>
          <w:szCs w:val="32"/>
        </w:rPr>
        <w:t xml:space="preserve">11. Companion Spreadsheet</w:t>
      </w:r>
    </w:p>
    <w:p>
      <w:pPr>
        <w:spacing w:after="120" w:line="276"/>
      </w:pPr>
      <w:r>
        <w:rPr>
          <w:rFonts w:ascii="Arial" w:cs="Arial" w:eastAsia="Arial" w:hAnsi="Arial"/>
          <w:color w:val="333333"/>
          <w:sz w:val="21"/>
          <w:szCs w:val="21"/>
        </w:rPr>
        <w:t xml:space="preserve">This executive summary is accompanied by the detailed migration map spreadsheet (Incorporate123_Content_Migration_Map.xlsx) containing six worksheets:</w:t>
      </w:r>
    </w:p>
    <w:p>
      <w:pPr>
        <w:spacing w:after="40" w:before="40"/>
      </w:pPr>
    </w:p>
    <w:p>
      <w:pPr>
        <w:pStyle w:val="ListParagraph"/>
        <w:numPr>
          <w:ilvl w:val="0"/>
          <w:numId w:val="2"/>
        </w:numPr>
        <w:spacing w:after="60" w:line="276"/>
      </w:pPr>
      <w:r>
        <w:rPr>
          <w:rFonts w:ascii="Arial" w:cs="Arial" w:eastAsia="Arial" w:hAnsi="Arial"/>
          <w:b/>
          <w:bCs/>
          <w:color w:val="333333"/>
          <w:sz w:val="21"/>
          <w:szCs w:val="21"/>
        </w:rPr>
        <w:t xml:space="preserve">Migration Summary </w:t>
      </w:r>
      <w:r>
        <w:rPr>
          <w:rFonts w:ascii="Arial" w:cs="Arial" w:eastAsia="Arial" w:hAnsi="Arial"/>
          <w:color w:val="333333"/>
          <w:sz w:val="21"/>
          <w:szCs w:val="21"/>
        </w:rPr>
        <w:t xml:space="preserve">— Dashboard with disposition breakdown, pillar distribution, and key migration metrics</w:t>
      </w:r>
    </w:p>
    <w:p>
      <w:pPr>
        <w:pStyle w:val="ListParagraph"/>
        <w:numPr>
          <w:ilvl w:val="0"/>
          <w:numId w:val="2"/>
        </w:numPr>
        <w:spacing w:after="60" w:line="276"/>
      </w:pPr>
      <w:r>
        <w:rPr>
          <w:rFonts w:ascii="Arial" w:cs="Arial" w:eastAsia="Arial" w:hAnsi="Arial"/>
          <w:b/>
          <w:bCs/>
          <w:color w:val="333333"/>
          <w:sz w:val="21"/>
          <w:szCs w:val="21"/>
        </w:rPr>
        <w:t xml:space="preserve">Migration Map </w:t>
      </w:r>
      <w:r>
        <w:rPr>
          <w:rFonts w:ascii="Arial" w:cs="Arial" w:eastAsia="Arial" w:hAnsi="Arial"/>
          <w:color w:val="333333"/>
          <w:sz w:val="21"/>
          <w:szCs w:val="21"/>
        </w:rPr>
        <w:t xml:space="preserve">— All 326 URLs with current title, word count, inlinks, disposition, new URL, target pillar, content action, and notes. Filterable by disposition and pillar</w:t>
      </w:r>
    </w:p>
    <w:p>
      <w:pPr>
        <w:pStyle w:val="ListParagraph"/>
        <w:numPr>
          <w:ilvl w:val="0"/>
          <w:numId w:val="2"/>
        </w:numPr>
        <w:spacing w:after="60" w:line="276"/>
      </w:pPr>
      <w:r>
        <w:rPr>
          <w:rFonts w:ascii="Arial" w:cs="Arial" w:eastAsia="Arial" w:hAnsi="Arial"/>
          <w:b/>
          <w:bCs/>
          <w:color w:val="333333"/>
          <w:sz w:val="21"/>
          <w:szCs w:val="21"/>
        </w:rPr>
        <w:t xml:space="preserve">Gap Analysis </w:t>
      </w:r>
      <w:r>
        <w:rPr>
          <w:rFonts w:ascii="Arial" w:cs="Arial" w:eastAsia="Arial" w:hAnsi="Arial"/>
          <w:color w:val="333333"/>
          <w:sz w:val="21"/>
          <w:szCs w:val="21"/>
        </w:rPr>
        <w:t xml:space="preserve">— 33 new pages with no existing equivalent. Tagged by priority (P1 Launch / P2 Expansion), content source, and pillar</w:t>
      </w:r>
    </w:p>
    <w:p>
      <w:pPr>
        <w:pStyle w:val="ListParagraph"/>
        <w:numPr>
          <w:ilvl w:val="0"/>
          <w:numId w:val="2"/>
        </w:numPr>
        <w:spacing w:after="60" w:line="276"/>
      </w:pPr>
      <w:r>
        <w:rPr>
          <w:rFonts w:ascii="Arial" w:cs="Arial" w:eastAsia="Arial" w:hAnsi="Arial"/>
          <w:b/>
          <w:bCs/>
          <w:color w:val="333333"/>
          <w:sz w:val="21"/>
          <w:szCs w:val="21"/>
        </w:rPr>
        <w:t xml:space="preserve">Cross-Pillar References </w:t>
      </w:r>
      <w:r>
        <w:rPr>
          <w:rFonts w:ascii="Arial" w:cs="Arial" w:eastAsia="Arial" w:hAnsi="Arial"/>
          <w:color w:val="333333"/>
          <w:sz w:val="21"/>
          <w:szCs w:val="21"/>
        </w:rPr>
        <w:t xml:space="preserve">— 14 pages requiring links from multiple pillars, with specific linking strategies and rationale</w:t>
      </w:r>
    </w:p>
    <w:p>
      <w:pPr>
        <w:pStyle w:val="ListParagraph"/>
        <w:numPr>
          <w:ilvl w:val="0"/>
          <w:numId w:val="2"/>
        </w:numPr>
        <w:spacing w:after="60" w:line="276"/>
      </w:pPr>
      <w:r>
        <w:rPr>
          <w:rFonts w:ascii="Arial" w:cs="Arial" w:eastAsia="Arial" w:hAnsi="Arial"/>
          <w:b/>
          <w:bCs/>
          <w:color w:val="333333"/>
          <w:sz w:val="21"/>
          <w:szCs w:val="21"/>
        </w:rPr>
        <w:t xml:space="preserve">FAQ Consolidation </w:t>
      </w:r>
      <w:r>
        <w:rPr>
          <w:rFonts w:ascii="Arial" w:cs="Arial" w:eastAsia="Arial" w:hAnsi="Arial"/>
          <w:color w:val="333333"/>
          <w:sz w:val="21"/>
          <w:szCs w:val="21"/>
        </w:rPr>
        <w:t xml:space="preserve">— Category-to-pillar mapping for all 24 Learning Center categories, with item counts and target pages</w:t>
      </w:r>
    </w:p>
    <w:p>
      <w:pPr>
        <w:pStyle w:val="ListParagraph"/>
        <w:numPr>
          <w:ilvl w:val="0"/>
          <w:numId w:val="2"/>
        </w:numPr>
        <w:spacing w:after="60" w:line="276"/>
      </w:pPr>
      <w:r>
        <w:rPr>
          <w:rFonts w:ascii="Arial" w:cs="Arial" w:eastAsia="Arial" w:hAnsi="Arial"/>
          <w:b/>
          <w:bCs/>
          <w:color w:val="333333"/>
          <w:sz w:val="21"/>
          <w:szCs w:val="21"/>
        </w:rPr>
        <w:t xml:space="preserve">Redirect Map (Draft) </w:t>
      </w:r>
      <w:r>
        <w:rPr>
          <w:rFonts w:ascii="Arial" w:cs="Arial" w:eastAsia="Arial" w:hAnsi="Arial"/>
          <w:color w:val="333333"/>
          <w:sz w:val="21"/>
          <w:szCs w:val="21"/>
        </w:rPr>
        <w:t xml:space="preserve">— 117 individual redirects plus 4 pattern rules, prioritized by inlink weight (Critical / High / Medium / Low / Bulk)</w:t>
      </w:r>
    </w:p>
    <w:p>
      <w:pPr>
        <w:spacing w:after="200" w:before="200"/>
      </w:pPr>
    </w:p>
    <w:p>
      <w:pPr>
        <w:pBdr>
          <w:top w:val="single" w:color="2E86C1" w:sz="2" w:space="8"/>
        </w:pBdr>
        <w:spacing w:before="200"/>
        <w:jc w:val="center"/>
      </w:pPr>
      <w:r>
        <w:rPr>
          <w:rFonts w:ascii="Arial" w:cs="Arial" w:eastAsia="Arial" w:hAnsi="Arial"/>
          <w:i/>
          <w:iCs/>
          <w:color w:val="666666"/>
          <w:sz w:val="18"/>
          <w:szCs w:val="18"/>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1" w:space="4"/>
      </w:pBdr>
      <w:tabs>
        <w:tab w:val="right" w:pos="9026"/>
      </w:tabs>
    </w:pPr>
    <w:r>
      <w:rPr>
        <w:rFonts w:ascii="Arial" w:cs="Arial" w:eastAsia="Arial" w:hAnsi="Arial"/>
        <w:color w:val="666666"/>
        <w:sz w:val="16"/>
        <w:szCs w:val="16"/>
      </w:rPr>
      <w:t xml:space="preserve">Incorporate123 — Content Migration Map Executive Summary</w:t>
    </w:r>
    <w:r>
      <w:rPr>
        <w:rFonts w:ascii="Arial" w:cs="Arial" w:eastAsia="Arial" w:hAnsi="Arial"/>
        <w:color w:val="666666"/>
        <w:sz w:val="16"/>
        <w:szCs w:val="16"/>
      </w:rPr>
      <w:t xml:space="preserve">	BIT Studios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2026-02-28T00:48:10.800Z</dcterms:created>
  <dcterms:modified xsi:type="dcterms:W3CDTF">2026-02-28T00:48:10.803Z</dcterms:modified>
</cp:coreProperties>
</file>

<file path=docProps/custom.xml><?xml version="1.0" encoding="utf-8"?>
<Properties xmlns="http://schemas.openxmlformats.org/officeDocument/2006/custom-properties" xmlns:vt="http://schemas.openxmlformats.org/officeDocument/2006/docPropsVTypes"/>
</file>