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pBdr>
          <w:bottom w:val="single" w:color="2E75B6" w:sz="6" w:space="8"/>
        </w:pBdr>
        <w:spacing w:after="0"/>
        <w:jc w:val="left"/>
      </w:pPr>
      <w:r>
        <w:rPr>
          <w:rFonts w:ascii="Arial" w:cs="Arial" w:eastAsia="Arial" w:hAnsi="Arial"/>
          <w:b/>
          <w:bCs/>
          <w:color w:val="1B2A4A"/>
          <w:sz w:val="40"/>
          <w:szCs w:val="40"/>
        </w:rPr>
        <w:t xml:space="preserve">COMPETITIVE ANALYSIS</w:t>
      </w:r>
    </w:p>
    <w:p>
      <w:pPr>
        <w:spacing w:before="200" w:after="0"/>
        <w:jc w:val="left"/>
      </w:pPr>
      <w:r>
        <w:rPr>
          <w:rFonts w:ascii="Arial" w:cs="Arial" w:eastAsia="Arial" w:hAnsi="Arial"/>
          <w:b/>
          <w:bCs/>
          <w:color w:val="2E75B6"/>
          <w:sz w:val="56"/>
          <w:szCs w:val="56"/>
        </w:rPr>
        <w:t xml:space="preserve">Anderson Advisors</w:t>
      </w:r>
    </w:p>
    <w:p>
      <w:pPr>
        <w:spacing w:before="160" w:after="0"/>
        <w:jc w:val="left"/>
      </w:pPr>
      <w:r>
        <w:rPr>
          <w:rFonts w:ascii="Arial" w:cs="Arial" w:eastAsia="Arial" w:hAnsi="Arial"/>
          <w:color w:val="555555"/>
          <w:sz w:val="28"/>
          <w:szCs w:val="28"/>
        </w:rPr>
        <w:t xml:space="preserve">Executive Summary — March 2026 Update</w:t>
      </w:r>
    </w:p>
    <w:p>
      <w:pPr>
        <w:spacing w:before="600" w:after="0"/>
      </w:pPr>
    </w:p>
    <w:p>
      <w:pPr>
        <w:spacing w:before="0" w:after="60"/>
      </w:pPr>
      <w:r>
        <w:rPr>
          <w:rFonts w:ascii="Arial" w:cs="Arial" w:eastAsia="Arial" w:hAnsi="Arial"/>
          <w:color w:val="555555"/>
          <w:sz w:val="22"/>
          <w:szCs w:val="22"/>
        </w:rPr>
        <w:t xml:space="preserve">Prepared for: </w:t>
      </w:r>
      <w:r>
        <w:rPr>
          <w:rFonts w:ascii="Arial" w:cs="Arial" w:eastAsia="Arial" w:hAnsi="Arial"/>
          <w:b/>
          <w:bCs/>
          <w:color w:val="333333"/>
          <w:sz w:val="22"/>
          <w:szCs w:val="22"/>
        </w:rPr>
        <w:t xml:space="preserve">Incorporate123</w:t>
      </w:r>
    </w:p>
    <w:p>
      <w:pPr>
        <w:spacing w:before="0" w:after="60"/>
      </w:pPr>
      <w:r>
        <w:rPr>
          <w:rFonts w:ascii="Arial" w:cs="Arial" w:eastAsia="Arial" w:hAnsi="Arial"/>
          <w:color w:val="555555"/>
          <w:sz w:val="22"/>
          <w:szCs w:val="22"/>
        </w:rPr>
        <w:t xml:space="preserve">Prepared by: </w:t>
      </w:r>
      <w:r>
        <w:rPr>
          <w:rFonts w:ascii="Arial" w:cs="Arial" w:eastAsia="Arial" w:hAnsi="Arial"/>
          <w:b/>
          <w:bCs/>
          <w:color w:val="333333"/>
          <w:sz w:val="22"/>
          <w:szCs w:val="22"/>
        </w:rPr>
        <w:t xml:space="preserve">BIT Studios</w:t>
      </w:r>
    </w:p>
    <w:p>
      <w:pPr>
        <w:spacing w:before="0" w:after="60"/>
      </w:pPr>
      <w:r>
        <w:rPr>
          <w:rFonts w:ascii="Arial" w:cs="Arial" w:eastAsia="Arial" w:hAnsi="Arial"/>
          <w:color w:val="555555"/>
          <w:sz w:val="22"/>
          <w:szCs w:val="22"/>
        </w:rPr>
        <w:t xml:space="preserve">Date: </w:t>
      </w:r>
      <w:r>
        <w:rPr>
          <w:rFonts w:ascii="Arial" w:cs="Arial" w:eastAsia="Arial" w:hAnsi="Arial"/>
          <w:color w:val="333333"/>
          <w:sz w:val="22"/>
          <w:szCs w:val="22"/>
        </w:rPr>
        <w:t xml:space="preserve">March 4, 2026</w:t>
      </w:r>
    </w:p>
    <w:p>
      <w:pPr>
        <w:spacing w:before="0" w:after="60"/>
      </w:pPr>
      <w:r>
        <w:rPr>
          <w:rFonts w:ascii="Arial" w:cs="Arial" w:eastAsia="Arial" w:hAnsi="Arial"/>
          <w:color w:val="555555"/>
          <w:sz w:val="22"/>
          <w:szCs w:val="22"/>
        </w:rPr>
        <w:t xml:space="preserve">Classification: </w:t>
      </w:r>
      <w:r>
        <w:rPr>
          <w:rFonts w:ascii="Arial" w:cs="Arial" w:eastAsia="Arial" w:hAnsi="Arial"/>
          <w:b/>
          <w:bCs/>
          <w:color w:val="C62828"/>
          <w:sz w:val="22"/>
          <w:szCs w:val="22"/>
        </w:rPr>
        <w:t xml:space="preserve">Confidential</w:t>
      </w:r>
    </w:p>
    <w:p>
      <w:pPr>
        <w:spacing w:before="1200" w:after="0"/>
      </w:pPr>
    </w:p>
    <w:p>
      <w:pPr>
        <w:jc w:val="left"/>
      </w:pPr>
      <w:r>
        <w:rPr>
          <w:rFonts w:ascii="Arial" w:cs="Arial" w:eastAsia="Arial" w:hAnsi="Arial"/>
          <w:i/>
          <w:iCs/>
          <w:color w:val="555555"/>
          <w:sz w:val="16"/>
          <w:szCs w:val="16"/>
        </w:rPr>
        <w:t xml:space="preserve">This document is confidential and intended solely for the use of Incorporate123 and BIT Studios project team members.</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B2A4A"/>
          <w:sz w:val="28"/>
          <w:szCs w:val="28"/>
        </w:rPr>
        <w:t xml:space="preserve">Executive Summary</w:t>
      </w:r>
    </w:p>
    <w:p>
      <w:pPr>
        <w:spacing w:before="80" w:after="80" w:line="276"/>
      </w:pPr>
      <w:r>
        <w:rPr>
          <w:rFonts w:ascii="Arial" w:cs="Arial" w:eastAsia="Arial" w:hAnsi="Arial"/>
          <w:color w:val="333333"/>
          <w:sz w:val="20"/>
          <w:szCs w:val="20"/>
        </w:rPr>
        <w:t xml:space="preserve">Anderson Advisors has fully committed to a consultation-gated, advisor-driven sales model that eliminates virtually all self-service purchasing. Their website functions as a lead-generation machine funneling visitors toward free strategy sessions and phone calls, while hiding pricing for all core services. This confirms the intelligence gathered during the March 3, 2026 client meeting with David.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0"/>
                <w:szCs w:val="20"/>
              </w:rPr>
              <w:t xml:space="preserve">BOTTOM LINE FOR INCORPORATE123</w:t>
            </w:r>
          </w:p>
          <w:p>
            <w:pPr>
              <w:spacing w:before="0"/>
            </w:pPr>
            <w:r>
              <w:rPr>
                <w:rFonts w:ascii="Arial" w:cs="Arial" w:eastAsia="Arial" w:hAnsi="Arial"/>
                <w:color w:val="333333"/>
                <w:sz w:val="20"/>
                <w:szCs w:val="20"/>
              </w:rPr>
              <w:t xml:space="preserve">Anderson’s model creates a massive competitive gap. Their total score remains 54/100 — strong on content (9/10) and SEO (8/10) but critically weak on pricing transparency (1/10) and self-service (1/10). Every weakness maps directly to Incorporate123’s planned strengths.</w:t>
            </w:r>
          </w:p>
        </w:tc>
      </w:tr>
    </w:tbl>
    <w:p>
      <w:pPr>
        <w:spacing w:before="120" w:after="0"/>
      </w:pPr>
    </w:p>
    <w:p>
      <w:pPr>
        <w:pStyle w:val="Heading2"/>
        <w:spacing w:before="240" w:after="120"/>
      </w:pPr>
      <w:r>
        <w:rPr>
          <w:rFonts w:ascii="Arial" w:cs="Arial" w:eastAsia="Arial" w:hAnsi="Arial"/>
          <w:b/>
          <w:bCs/>
          <w:color w:val="2E75B6"/>
          <w:sz w:val="24"/>
          <w:szCs w:val="24"/>
        </w:rPr>
        <w:t xml:space="preserve">Five Critical Findings</w:t>
      </w:r>
    </w:p>
    <w:p>
      <w:pPr>
        <w:pStyle w:val="ListParagraph"/>
        <w:numPr>
          <w:ilvl w:val="0"/>
          <w:numId w:val="2"/>
        </w:numPr>
        <w:spacing w:before="60" w:after="60" w:line="276"/>
      </w:pPr>
      <w:r>
        <w:rPr>
          <w:rFonts w:ascii="Arial" w:cs="Arial" w:eastAsia="Arial" w:hAnsi="Arial"/>
          <w:b/>
          <w:bCs/>
          <w:color w:val="333333"/>
          <w:sz w:val="20"/>
          <w:szCs w:val="20"/>
        </w:rPr>
        <w:t xml:space="preserve">Consultation-gated model confirmed and intensified. </w:t>
      </w:r>
      <w:r>
        <w:rPr>
          <w:rFonts w:ascii="Arial" w:cs="Arial" w:eastAsia="Arial" w:hAnsi="Arial"/>
          <w:color w:val="333333"/>
          <w:sz w:val="20"/>
          <w:szCs w:val="20"/>
        </w:rPr>
        <w:t xml:space="preserve">Every service page terminates in “Schedule a Free Strategy Session.” The only direct-purchase items are a $49 workshop ticket, a $2,000 Smart Tax Navigator package, and books. “Contact Us” routes to a sales funnel page, not a contact form.</w:t>
      </w:r>
    </w:p>
    <w:p>
      <w:pPr>
        <w:pStyle w:val="ListParagraph"/>
        <w:numPr>
          <w:ilvl w:val="0"/>
          <w:numId w:val="2"/>
        </w:numPr>
        <w:spacing w:before="60" w:after="60" w:line="276"/>
      </w:pPr>
      <w:r>
        <w:rPr>
          <w:rFonts w:ascii="Arial" w:cs="Arial" w:eastAsia="Arial" w:hAnsi="Arial"/>
          <w:b/>
          <w:bCs/>
          <w:color w:val="333333"/>
          <w:sz w:val="20"/>
          <w:szCs w:val="20"/>
        </w:rPr>
        <w:t xml:space="preserve">Client count claims appear inflated by ~10×. </w:t>
      </w:r>
      <w:r>
        <w:rPr>
          <w:rFonts w:ascii="Arial" w:cs="Arial" w:eastAsia="Arial" w:hAnsi="Arial"/>
          <w:color w:val="333333"/>
          <w:sz w:val="20"/>
          <w:szCs w:val="20"/>
        </w:rPr>
        <w:t xml:space="preserve">Sun Capital Partners’ 2023 investor press release disclosed ~17,000 actual customers, while Anderson’s marketing claims “157,000+ satisfied clients.” Homepage counters show yet another number (50K+). This discrepancy is a credibility vulnerability.</w:t>
      </w:r>
    </w:p>
    <w:p>
      <w:pPr>
        <w:pStyle w:val="ListParagraph"/>
        <w:numPr>
          <w:ilvl w:val="0"/>
          <w:numId w:val="2"/>
        </w:numPr>
        <w:spacing w:before="60" w:after="60" w:line="276"/>
      </w:pPr>
      <w:r>
        <w:rPr>
          <w:rFonts w:ascii="Arial" w:cs="Arial" w:eastAsia="Arial" w:hAnsi="Arial"/>
          <w:b/>
          <w:bCs/>
          <w:color w:val="333333"/>
          <w:sz w:val="20"/>
          <w:szCs w:val="20"/>
        </w:rPr>
        <w:t xml:space="preserve">Privacy/nominee services exist but remain buried. </w:t>
      </w:r>
      <w:r>
        <w:rPr>
          <w:rFonts w:ascii="Arial" w:cs="Arial" w:eastAsia="Arial" w:hAnsi="Arial"/>
          <w:color w:val="333333"/>
          <w:sz w:val="20"/>
          <w:szCs w:val="20"/>
        </w:rPr>
        <w:t xml:space="preserve">Anderson has 10+ articles on anonymous LLCs and a dedicated nominee page, but privacy never appears in navigation labels, hero content, or primary value propositions. The privacy-first positioning is wide open.</w:t>
      </w:r>
    </w:p>
    <w:p>
      <w:pPr>
        <w:pStyle w:val="ListParagraph"/>
        <w:numPr>
          <w:ilvl w:val="0"/>
          <w:numId w:val="2"/>
        </w:numPr>
        <w:spacing w:before="60" w:after="60" w:line="276"/>
      </w:pPr>
      <w:r>
        <w:rPr>
          <w:rFonts w:ascii="Arial" w:cs="Arial" w:eastAsia="Arial" w:hAnsi="Arial"/>
          <w:b/>
          <w:bCs/>
          <w:color w:val="333333"/>
          <w:sz w:val="20"/>
          <w:szCs w:val="20"/>
        </w:rPr>
        <w:t xml:space="preserve">Platinum Membership pricing is selectively visible. </w:t>
      </w:r>
      <w:r>
        <w:rPr>
          <w:rFonts w:ascii="Arial" w:cs="Arial" w:eastAsia="Arial" w:hAnsi="Arial"/>
          <w:color w:val="333333"/>
          <w:sz w:val="20"/>
          <w:szCs w:val="20"/>
        </w:rPr>
        <w:t xml:space="preserve">$3,495 enrollment + $75/month appears only on special offer pages. BiggerPockets forum posts reveal negotiated rates as low as $1,500 + $35/month — pricing is opaque and variable.</w:t>
      </w:r>
    </w:p>
    <w:p>
      <w:pPr>
        <w:pStyle w:val="ListParagraph"/>
        <w:numPr>
          <w:ilvl w:val="0"/>
          <w:numId w:val="2"/>
        </w:numPr>
        <w:spacing w:before="60" w:after="60" w:line="276"/>
      </w:pPr>
      <w:r>
        <w:rPr>
          <w:rFonts w:ascii="Arial" w:cs="Arial" w:eastAsia="Arial" w:hAnsi="Arial"/>
          <w:b/>
          <w:bCs/>
          <w:color w:val="333333"/>
          <w:sz w:val="20"/>
          <w:szCs w:val="20"/>
        </w:rPr>
        <w:t xml:space="preserve">Post–Sun Capital acquisition cracks are showing. </w:t>
      </w:r>
      <w:r>
        <w:rPr>
          <w:rFonts w:ascii="Arial" w:cs="Arial" w:eastAsia="Arial" w:hAnsi="Arial"/>
          <w:color w:val="333333"/>
          <w:sz w:val="20"/>
          <w:szCs w:val="20"/>
        </w:rPr>
        <w:t xml:space="preserve">Glassdoor (3.6/5, 219 reviews) describes aggressive webinar tactics, rushed onboarding, and quality declines since the March 2023 private equity acquisition. BBB complaints cite wrong tax returns and refund denials.</w:t>
      </w:r>
    </w:p>
    <w:p>
      <w:r>
        <w:br w:type="page"/>
      </w:r>
    </w:p>
    <w:p>
      <w:pPr>
        <w:pStyle w:val="Heading1"/>
        <w:spacing w:before="360" w:after="160"/>
      </w:pPr>
      <w:r>
        <w:rPr>
          <w:rFonts w:ascii="Arial" w:cs="Arial" w:eastAsia="Arial" w:hAnsi="Arial"/>
          <w:b/>
          <w:bCs/>
          <w:color w:val="1B2A4A"/>
          <w:sz w:val="28"/>
          <w:szCs w:val="28"/>
        </w:rPr>
        <w:t xml:space="preserve">Updated Competitive Scorecard</w:t>
      </w:r>
    </w:p>
    <w:p>
      <w:pPr>
        <w:spacing w:before="80" w:after="80" w:line="276"/>
      </w:pPr>
      <w:r>
        <w:rPr>
          <w:rFonts w:ascii="Arial" w:cs="Arial" w:eastAsia="Arial" w:hAnsi="Arial"/>
          <w:color w:val="333333"/>
          <w:sz w:val="20"/>
          <w:szCs w:val="20"/>
        </w:rPr>
        <w:t xml:space="preserve">Anderson’s total score moved from 52/100 to 54/100. Gains in design polish (+1), conversion refinement (+1), and deeper privacy content (+1) were partially offset by a trust signal downgrade (−1).</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700"/>
        <w:gridCol w:w="46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Dimension</w:t>
            </w:r>
          </w:p>
        </w:tc>
        <w:tc>
          <w:tcPr>
            <w:tcW w:type="dxa" w:w="9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Feb ’26</w:t>
            </w:r>
          </w:p>
        </w:tc>
        <w:tc>
          <w:tcPr>
            <w:tcW w:type="dxa" w:w="9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Mar ’26</w:t>
            </w:r>
          </w:p>
        </w:tc>
        <w:tc>
          <w:tcPr>
            <w:tcW w:type="dxa" w:w="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Δ</w:t>
            </w:r>
          </w:p>
        </w:tc>
        <w:tc>
          <w:tcPr>
            <w:tcW w:type="dxa" w:w="4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Key Rationale</w:t>
            </w:r>
          </w:p>
        </w:tc>
      </w:tr>
      <w:tr>
        <w:tc>
          <w:tcPr>
            <w:tcW w:type="dxa" w:w="22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Content Quality &amp; Depth</w:t>
            </w:r>
          </w:p>
        </w:tc>
        <w:tc>
          <w:tcPr>
            <w:tcW w:type="dxa" w:w="9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9</w:t>
            </w:r>
          </w:p>
        </w:tc>
        <w:tc>
          <w:tcPr>
            <w:tcW w:type="dxa" w:w="9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9</w:t>
            </w:r>
          </w:p>
        </w:tc>
        <w:tc>
          <w:tcPr>
            <w:tcW w:type="dxa" w:w="7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555555"/>
                <w:sz w:val="18"/>
                <w:szCs w:val="18"/>
              </w:rPr>
              <w:t xml:space="preserve">—</w:t>
            </w:r>
          </w:p>
        </w:tc>
        <w:tc>
          <w:tcPr>
            <w:tcW w:type="dxa" w:w="466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400–600+ blog posts, 350+ podcast episodes, attorney-authored. Publishing 2–4×/week. Greatest competitive asset.</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SEO Performance</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8</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8</w:t>
            </w:r>
          </w:p>
        </w:tc>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555555"/>
                <w:sz w:val="18"/>
                <w:szCs w:val="18"/>
              </w:rPr>
              <w:t xml:space="preserve">—</w:t>
            </w:r>
          </w:p>
        </w:tc>
        <w:tc>
          <w:tcPr>
            <w:tcW w:type="dxa" w:w="4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Clean URLs, breadcrumbs, strong internal linking. Minor gaps: no FAQ rich results, inconsistent title separators.</w:t>
            </w:r>
          </w:p>
        </w:tc>
      </w:tr>
      <w:tr>
        <w:tc>
          <w:tcPr>
            <w:tcW w:type="dxa" w:w="22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UX &amp; Navigation</w:t>
            </w:r>
          </w:p>
        </w:tc>
        <w:tc>
          <w:tcPr>
            <w:tcW w:type="dxa" w:w="9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w:t>
            </w:r>
          </w:p>
        </w:tc>
        <w:tc>
          <w:tcPr>
            <w:tcW w:type="dxa" w:w="9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5</w:t>
            </w:r>
          </w:p>
        </w:tc>
        <w:tc>
          <w:tcPr>
            <w:tcW w:type="dxa" w:w="7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555555"/>
                <w:sz w:val="18"/>
                <w:szCs w:val="18"/>
              </w:rPr>
              <w:t xml:space="preserve">—</w:t>
            </w:r>
          </w:p>
        </w:tc>
        <w:tc>
          <w:tcPr>
            <w:tcW w:type="dxa" w:w="466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7 mega-menus unchanged. “Contact Us” routes to sales funnel. Entry popup is aggressive. No chat/chatbot.</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Pricing Transparency</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1</w:t>
            </w:r>
          </w:p>
        </w:tc>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555555"/>
                <w:sz w:val="18"/>
                <w:szCs w:val="18"/>
              </w:rPr>
              <w:t xml:space="preserve">—</w:t>
            </w:r>
          </w:p>
        </w:tc>
        <w:tc>
          <w:tcPr>
            <w:tcW w:type="dxa" w:w="4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Zero pricing on any main service page. Everything consultation-gated. Variable discounts confirmed.</w:t>
            </w:r>
          </w:p>
        </w:tc>
      </w:tr>
      <w:tr>
        <w:tc>
          <w:tcPr>
            <w:tcW w:type="dxa" w:w="22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Trust Signals</w:t>
            </w:r>
          </w:p>
        </w:tc>
        <w:tc>
          <w:tcPr>
            <w:tcW w:type="dxa" w:w="9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8</w:t>
            </w:r>
          </w:p>
        </w:tc>
        <w:tc>
          <w:tcPr>
            <w:tcW w:type="dxa" w:w="9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7</w:t>
            </w:r>
          </w:p>
        </w:tc>
        <w:tc>
          <w:tcPr>
            <w:tcW w:type="dxa" w:w="7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C62828"/>
                <w:sz w:val="18"/>
                <w:szCs w:val="18"/>
              </w:rPr>
              <w:t xml:space="preserve">↓ 1</w:t>
            </w:r>
          </w:p>
        </w:tc>
        <w:tc>
          <w:tcPr>
            <w:tcW w:type="dxa" w:w="466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Strong foundation (BBB A+, Trustpilot 4.7) but client count inflation, Glassdoor decline, BBB complaints.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Conversion Optimization</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4</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5</w:t>
            </w:r>
          </w:p>
        </w:tc>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2E7D32"/>
                <w:sz w:val="18"/>
                <w:szCs w:val="18"/>
              </w:rPr>
              <w:t xml:space="preserve">↑ 1</w:t>
            </w:r>
          </w:p>
        </w:tc>
        <w:tc>
          <w:tcPr>
            <w:tcW w:type="dxa" w:w="4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Refined funnel: free content → workshop → strategy session → Platinum. Multiple CTAs per page. Optimized for their model.</w:t>
            </w:r>
          </w:p>
        </w:tc>
      </w:tr>
      <w:tr>
        <w:tc>
          <w:tcPr>
            <w:tcW w:type="dxa" w:w="22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Mobile Experience</w:t>
            </w:r>
          </w:p>
        </w:tc>
        <w:tc>
          <w:tcPr>
            <w:tcW w:type="dxa" w:w="9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w:t>
            </w:r>
          </w:p>
        </w:tc>
        <w:tc>
          <w:tcPr>
            <w:tcW w:type="dxa" w:w="9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5</w:t>
            </w:r>
          </w:p>
        </w:tc>
        <w:tc>
          <w:tcPr>
            <w:tcW w:type="dxa" w:w="7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555555"/>
                <w:sz w:val="18"/>
                <w:szCs w:val="18"/>
              </w:rPr>
              <w:t xml:space="preserve">—</w:t>
            </w:r>
          </w:p>
        </w:tc>
        <w:tc>
          <w:tcPr>
            <w:tcW w:type="dxa" w:w="466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Responsive with WebP images. Functional but not exceptional mobile optimization.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Visual Design &amp; Modernity</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5</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6</w:t>
            </w:r>
          </w:p>
        </w:tc>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2E7D32"/>
                <w:sz w:val="18"/>
                <w:szCs w:val="18"/>
              </w:rPr>
              <w:t xml:space="preserve">↑ 1</w:t>
            </w:r>
          </w:p>
        </w:tc>
        <w:tc>
          <w:tcPr>
            <w:tcW w:type="dxa" w:w="4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Navy/white/gold palette. Card-based layout, clean typography, generous whitespace. Professional, premium feel.</w:t>
            </w:r>
          </w:p>
        </w:tc>
      </w:tr>
      <w:tr>
        <w:tc>
          <w:tcPr>
            <w:tcW w:type="dxa" w:w="22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Privacy/AP Expertise</w:t>
            </w:r>
          </w:p>
        </w:tc>
        <w:tc>
          <w:tcPr>
            <w:tcW w:type="dxa" w:w="9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6</w:t>
            </w:r>
          </w:p>
        </w:tc>
        <w:tc>
          <w:tcPr>
            <w:tcW w:type="dxa" w:w="9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7</w:t>
            </w:r>
          </w:p>
        </w:tc>
        <w:tc>
          <w:tcPr>
            <w:tcW w:type="dxa" w:w="7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2E7D32"/>
                <w:sz w:val="18"/>
                <w:szCs w:val="18"/>
              </w:rPr>
              <w:t xml:space="preserve">↑ 1</w:t>
            </w:r>
          </w:p>
        </w:tc>
        <w:tc>
          <w:tcPr>
            <w:tcW w:type="dxa" w:w="466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10+ anonymous LLC articles, CTA coverage, nominee page. But privacy is never the lead value prop or in navigation.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Self-Service Capability</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333333"/>
                <w:sz w:val="18"/>
                <w:szCs w:val="18"/>
              </w:rPr>
              <w:t xml:space="preserve">1</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bCs/>
                <w:color w:val="333333"/>
                <w:sz w:val="18"/>
                <w:szCs w:val="18"/>
              </w:rPr>
              <w:t xml:space="preserve">1</w:t>
            </w:r>
          </w:p>
        </w:tc>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color w:val="555555"/>
                <w:sz w:val="18"/>
                <w:szCs w:val="18"/>
              </w:rPr>
              <w:t xml:space="preserve">—</w:t>
            </w:r>
          </w:p>
        </w:tc>
        <w:tc>
          <w:tcPr>
            <w:tcW w:type="dxa" w:w="4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Only purchasable: $49 workshop, $2K tax navigator, books. Core services all phone-gated.</w:t>
            </w:r>
          </w:p>
        </w:tc>
      </w:tr>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jc w:val="left"/>
            </w:pPr>
            <w:r>
              <w:rPr>
                <w:rFonts w:ascii="Arial" w:cs="Arial" w:eastAsia="Arial" w:hAnsi="Arial"/>
                <w:b/>
                <w:bCs/>
                <w:color w:val="FFFFFF"/>
                <w:sz w:val="18"/>
                <w:szCs w:val="18"/>
              </w:rPr>
              <w:t xml:space="preserve">TOTAL</w:t>
            </w:r>
          </w:p>
        </w:tc>
        <w:tc>
          <w:tcPr>
            <w:tcW w:type="dxa" w:w="9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8"/>
                <w:szCs w:val="18"/>
              </w:rPr>
              <w:t xml:space="preserve">52</w:t>
            </w:r>
          </w:p>
        </w:tc>
        <w:tc>
          <w:tcPr>
            <w:tcW w:type="dxa" w:w="9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8"/>
                <w:szCs w:val="18"/>
              </w:rPr>
              <w:t xml:space="preserve">54</w:t>
            </w:r>
          </w:p>
        </w:tc>
        <w:tc>
          <w:tcPr>
            <w:tcW w:type="dxa" w:w="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8"/>
                <w:szCs w:val="18"/>
              </w:rPr>
              <w:t xml:space="preserve">+2</w:t>
            </w:r>
          </w:p>
        </w:tc>
        <w:tc>
          <w:tcPr>
            <w:tcW w:type="dxa" w:w="4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FFFFFF"/>
                <w:sz w:val="18"/>
                <w:szCs w:val="18"/>
              </w:rPr>
              <w:t xml:space="preserve">Net +2: design, conversion, privacy content gains offset by trust downgrade</w:t>
            </w:r>
          </w:p>
        </w:tc>
      </w:tr>
    </w:tbl>
    <w:p>
      <w:r>
        <w:br w:type="page"/>
      </w:r>
    </w:p>
    <w:p>
      <w:pPr>
        <w:pStyle w:val="Heading1"/>
        <w:spacing w:before="360" w:after="160"/>
      </w:pPr>
      <w:r>
        <w:rPr>
          <w:rFonts w:ascii="Arial" w:cs="Arial" w:eastAsia="Arial" w:hAnsi="Arial"/>
          <w:b/>
          <w:bCs/>
          <w:color w:val="1B2A4A"/>
          <w:sz w:val="28"/>
          <w:szCs w:val="28"/>
        </w:rPr>
        <w:t xml:space="preserve">Competitive Gaps &amp; Opportunities</w:t>
      </w:r>
    </w:p>
    <w:p>
      <w:pPr>
        <w:spacing w:before="80" w:after="80" w:line="276"/>
      </w:pPr>
      <w:r>
        <w:rPr>
          <w:rFonts w:ascii="Arial" w:cs="Arial" w:eastAsia="Arial" w:hAnsi="Arial"/>
          <w:color w:val="333333"/>
          <w:sz w:val="20"/>
          <w:szCs w:val="20"/>
        </w:rPr>
        <w:t xml:space="preserve">Anderson’s strategic choices create seven exploitable gaps that map directly to Incorporate123’s planned positioning as a privacy-first, transparent-pricing, self-service provider.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Anderson Does…</w:t>
            </w:r>
          </w:p>
        </w:tc>
        <w:tc>
          <w:tcPr>
            <w:tcW w:type="dxa" w:w="32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Incorporate123 Should…</w:t>
            </w:r>
          </w:p>
        </w:tc>
        <w:tc>
          <w:tcPr>
            <w:tcW w:type="dxa" w:w="32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Expected Impact</w:t>
            </w:r>
          </w:p>
        </w:tc>
      </w:tr>
      <w:tr>
        <w:tc>
          <w:tcPr>
            <w:tcW w:type="dxa" w:w="28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Buries privacy behind tax/AP messaging. No “privacy” in navigation or hero.</w:t>
            </w:r>
          </w:p>
        </w:tc>
        <w:tc>
          <w:tcPr>
            <w:tcW w:type="dxa" w:w="32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Lead with Privacy pillar as centerpiece. Dedicate 11 pages to privacy cluster.</w:t>
            </w:r>
          </w:p>
        </w:tc>
        <w:tc>
          <w:tcPr>
            <w:tcW w:type="dxa" w:w="32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Own “privacy LLC” keyword clusters. Rank above Anderson for privacy-intent queries within 6–12 months.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Hides all pricing. Forces phone consultations. Uses variable discounts.</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Publish clear pricing on every service page. Create comparison tables and total-cost calculators.</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Capture high-intent buyers abandoning Anderson’s funnel. Create “Anderson pricing” comparison content.</w:t>
            </w:r>
          </w:p>
        </w:tc>
      </w:tr>
      <w:tr>
        <w:tc>
          <w:tcPr>
            <w:tcW w:type="dxa" w:w="28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Gates every service behind a 45-min phone consultation.</w:t>
            </w:r>
          </w:p>
        </w:tc>
        <w:tc>
          <w:tcPr>
            <w:tcW w:type="dxa" w:w="32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Build end-to-end self-service purchasing with real-time order tracking.</w:t>
            </w:r>
          </w:p>
        </w:tc>
        <w:tc>
          <w:tcPr>
            <w:tcW w:type="dxa" w:w="32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Capture informed DIY buyers (especially younger investors) who prefer digital self-service.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Claims 157K+ clients while investor docs show ~17K. Different numbers on different pages.</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Use precise, verifiable numbers. Tie counters to actual database. Collect reviews from day one.</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Build authentic credibility that withstands scrutiny as Anderson’s claims face exposure.</w:t>
            </w:r>
          </w:p>
        </w:tc>
      </w:tr>
      <w:tr>
        <w:tc>
          <w:tcPr>
            <w:tcW w:type="dxa" w:w="28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Publishes Q&amp;A content without FAQ schema. No rich results in SERPs.</w:t>
            </w:r>
          </w:p>
        </w:tc>
        <w:tc>
          <w:tcPr>
            <w:tcW w:type="dxa" w:w="32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Implement FAQ, HowTo, and Service schema on all relevant pages from launch.</w:t>
            </w:r>
          </w:p>
        </w:tc>
        <w:tc>
          <w:tcPr>
            <w:tcW w:type="dxa" w:w="32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Capture SERP real estate with rich results. Higher CTR even against higher-DA competitors.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No live chat or chatbot. Phone-only support with scheduled consultations.</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Deploy live chat (business hours) + AI chatbot (after hours) for instant answers.</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Serve text-first communication preferences. Reduce conversion friction significantly.</w:t>
            </w:r>
          </w:p>
        </w:tc>
      </w:tr>
      <w:tr>
        <w:tc>
          <w:tcPr>
            <w:tcW w:type="dxa" w:w="28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Every content piece terminates in a strategy session CTA. Content funnels, not empowers.</w:t>
            </w:r>
          </w:p>
        </w:tc>
        <w:tc>
          <w:tcPr>
            <w:tcW w:type="dxa" w:w="32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Create content that helps users take action independently. Add decision trees and calculators.</w:t>
            </w:r>
          </w:p>
        </w:tc>
        <w:tc>
          <w:tcPr>
            <w:tcW w:type="dxa" w:w="32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Build trust through utility. Users who feel helped—not funneled—convert and refer at higher rates.</w:t>
            </w:r>
          </w:p>
        </w:tc>
      </w:tr>
    </w:tbl>
    <w:p>
      <w:r>
        <w:br w:type="page"/>
      </w:r>
    </w:p>
    <w:p>
      <w:pPr>
        <w:pStyle w:val="Heading1"/>
        <w:spacing w:before="360" w:after="160"/>
      </w:pPr>
      <w:r>
        <w:rPr>
          <w:rFonts w:ascii="Arial" w:cs="Arial" w:eastAsia="Arial" w:hAnsi="Arial"/>
          <w:b/>
          <w:bCs/>
          <w:color w:val="1B2A4A"/>
          <w:sz w:val="28"/>
          <w:szCs w:val="28"/>
        </w:rPr>
        <w:t xml:space="preserve">What Anderson Does Better</w:t>
      </w:r>
    </w:p>
    <w:p>
      <w:pPr>
        <w:spacing w:before="80" w:after="80" w:line="276"/>
      </w:pPr>
      <w:r>
        <w:rPr>
          <w:rFonts w:ascii="Arial" w:cs="Arial" w:eastAsia="Arial" w:hAnsi="Arial"/>
          <w:color w:val="333333"/>
          <w:sz w:val="20"/>
          <w:szCs w:val="20"/>
        </w:rPr>
        <w:t xml:space="preserve">An honest assessment of Anderson’s strengths that Incorporate123 should learn from or plan to match over time.</w:t>
      </w:r>
    </w:p>
    <w:p>
      <w:pPr>
        <w:spacing w:before="60" w:after="0"/>
      </w:pPr>
    </w:p>
    <w:p>
      <w:pPr>
        <w:pStyle w:val="Heading2"/>
        <w:spacing w:before="240" w:after="120"/>
      </w:pPr>
      <w:r>
        <w:rPr>
          <w:rFonts w:ascii="Arial" w:cs="Arial" w:eastAsia="Arial" w:hAnsi="Arial"/>
          <w:b/>
          <w:bCs/>
          <w:color w:val="2E75B6"/>
          <w:sz w:val="24"/>
          <w:szCs w:val="24"/>
        </w:rPr>
        <w:t xml:space="preserve">Content Engine &amp; Publishing Discipline</w:t>
      </w:r>
    </w:p>
    <w:p>
      <w:pPr>
        <w:spacing w:before="80" w:after="80" w:line="276"/>
      </w:pPr>
      <w:r>
        <w:rPr>
          <w:rFonts w:ascii="Arial" w:cs="Arial" w:eastAsia="Arial" w:hAnsi="Arial"/>
          <w:color w:val="333333"/>
          <w:sz w:val="20"/>
          <w:szCs w:val="20"/>
        </w:rPr>
        <w:t xml:space="preserve">Anderson’s 400–600+ article library, 350+ podcast episodes, and dual YouTube channels represent years of compounding investment. Their 2–4 posts per week cadence has built dominant topical authority. Incorporate123’s planned 71 pages is an excellent launch foundation, but catching up on raw content volume will take 18–24 months of sustained effort at 2–3 high-quality posts per week minimum.</w:t>
      </w:r>
    </w:p>
    <w:p>
      <w:pPr>
        <w:pStyle w:val="Heading2"/>
        <w:spacing w:before="240" w:after="120"/>
      </w:pPr>
      <w:r>
        <w:rPr>
          <w:rFonts w:ascii="Arial" w:cs="Arial" w:eastAsia="Arial" w:hAnsi="Arial"/>
          <w:b/>
          <w:bCs/>
          <w:color w:val="2E75B6"/>
          <w:sz w:val="24"/>
          <w:szCs w:val="24"/>
        </w:rPr>
        <w:t xml:space="preserve">Attorney-Authored E-E-A-T Credentials</w:t>
      </w:r>
    </w:p>
    <w:p>
      <w:pPr>
        <w:spacing w:before="80" w:after="80" w:line="276"/>
      </w:pPr>
      <w:r>
        <w:rPr>
          <w:rFonts w:ascii="Arial" w:cs="Arial" w:eastAsia="Arial" w:hAnsi="Arial"/>
          <w:color w:val="333333"/>
          <w:sz w:val="20"/>
          <w:szCs w:val="20"/>
        </w:rPr>
        <w:t xml:space="preserve">Clint Coons and Toby Mathis are genuine subject matter authorities — licensed attorneys, active real estate investors (100+ and several hundred properties respectively), ForbesBooks-published authors, and Forbes Council members. Their bylines create an E-E-A-T moat. Incorporate123 must identify and prominently feature credentialed experts as named authors for all pillar content.</w:t>
      </w:r>
    </w:p>
    <w:p>
      <w:pPr>
        <w:pStyle w:val="Heading2"/>
        <w:spacing w:before="240" w:after="120"/>
      </w:pPr>
      <w:r>
        <w:rPr>
          <w:rFonts w:ascii="Arial" w:cs="Arial" w:eastAsia="Arial" w:hAnsi="Arial"/>
          <w:b/>
          <w:bCs/>
          <w:color w:val="2E75B6"/>
          <w:sz w:val="24"/>
          <w:szCs w:val="24"/>
        </w:rPr>
        <w:t xml:space="preserve">Lead Magnet Ecosystem</w:t>
      </w:r>
    </w:p>
    <w:p>
      <w:pPr>
        <w:spacing w:before="80" w:after="80" w:line="276"/>
      </w:pPr>
      <w:r>
        <w:rPr>
          <w:rFonts w:ascii="Arial" w:cs="Arial" w:eastAsia="Arial" w:hAnsi="Arial"/>
          <w:color w:val="333333"/>
          <w:sz w:val="20"/>
          <w:szCs w:val="20"/>
        </w:rPr>
        <w:t xml:space="preserve">Anderson’s layered lead capture (eBooks, free workshops, Tax Tuesdays, on-demand webinars, strategy sessions) creates multiple entry points at different buyer journey stages. While Incorporate123’s self-service model is different, studying this architecture for upper-funnel engagement ideas is worthwhile.</w:t>
      </w:r>
    </w:p>
    <w:p>
      <w:pPr>
        <w:pStyle w:val="Heading2"/>
        <w:spacing w:before="240" w:after="120"/>
      </w:pPr>
      <w:r>
        <w:rPr>
          <w:rFonts w:ascii="Arial" w:cs="Arial" w:eastAsia="Arial" w:hAnsi="Arial"/>
          <w:b/>
          <w:bCs/>
          <w:color w:val="2E75B6"/>
          <w:sz w:val="24"/>
          <w:szCs w:val="24"/>
        </w:rPr>
        <w:t xml:space="preserve">Brand &amp; Trust Signal Accumulation</w:t>
      </w:r>
    </w:p>
    <w:p>
      <w:pPr>
        <w:spacing w:before="80" w:after="80" w:line="276"/>
      </w:pPr>
      <w:r>
        <w:rPr>
          <w:rFonts w:ascii="Arial" w:cs="Arial" w:eastAsia="Arial" w:hAnsi="Arial"/>
          <w:color w:val="333333"/>
          <w:sz w:val="20"/>
          <w:szCs w:val="20"/>
        </w:rPr>
        <w:t xml:space="preserve">31 years in business, BBB A+ since 2015, Trustpilot 4.7/583 reviews, Inc. 5000 appearances, ForbesBooks imprint, media logos from Fortune/Forbes/Inc./USA Today/Money. This cumulative trust infrastructure took decades to build. Incorporate123 should prioritize reviews and third-party credibility signals from day one.</w:t>
      </w:r>
    </w:p>
    <w:p>
      <w:r>
        <w:br w:type="page"/>
      </w:r>
    </w:p>
    <w:p>
      <w:pPr>
        <w:pStyle w:val="Heading1"/>
        <w:spacing w:before="360" w:after="160"/>
      </w:pPr>
      <w:r>
        <w:rPr>
          <w:rFonts w:ascii="Arial" w:cs="Arial" w:eastAsia="Arial" w:hAnsi="Arial"/>
          <w:b/>
          <w:bCs/>
          <w:color w:val="1B2A4A"/>
          <w:sz w:val="28"/>
          <w:szCs w:val="28"/>
        </w:rPr>
        <w:t xml:space="preserve">Risk Assessment: Anderson’s Potential Moves</w:t>
      </w:r>
    </w:p>
    <w:p>
      <w:pPr>
        <w:spacing w:before="80" w:after="80" w:line="276"/>
      </w:pPr>
      <w:r>
        <w:rPr>
          <w:rFonts w:ascii="Arial" w:cs="Arial" w:eastAsia="Arial" w:hAnsi="Arial"/>
          <w:color w:val="333333"/>
          <w:sz w:val="20"/>
          <w:szCs w:val="20"/>
        </w:rPr>
        <w:t xml:space="preserve">Six scenarios that could erode Incorporate123’s planned advantages within 6–12 months, with recommended mitigations.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80"/>
        <w:gridCol w:w="288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Risk Scenario</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Probability</w:t>
            </w:r>
          </w:p>
        </w:tc>
        <w:tc>
          <w:tcPr>
            <w:tcW w:type="dxa" w:w="28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Threat</w:t>
            </w:r>
          </w:p>
        </w:tc>
        <w:tc>
          <w:tcPr>
            <w:tcW w:type="dxa" w:w="28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Mitigation</w:t>
            </w:r>
          </w:p>
        </w:tc>
      </w:tr>
      <w:tr>
        <w:tc>
          <w:tcPr>
            <w:tcW w:type="dxa" w:w="24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Anderson adds self-service purchasing</w:t>
            </w:r>
          </w:p>
        </w:tc>
        <w:tc>
          <w:tcPr>
            <w:tcW w:type="dxa" w:w="12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bCs/>
                <w:color w:val="F57F17"/>
                <w:sz w:val="18"/>
                <w:szCs w:val="18"/>
              </w:rPr>
              <w:t xml:space="preserve">Medium</w:t>
            </w:r>
          </w:p>
        </w:tc>
        <w:tc>
          <w:tcPr>
            <w:tcW w:type="dxa" w:w="28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WooCommerce infrastructure already exists. Adding e-commerce for basic services requires minimal investment.</w:t>
            </w:r>
          </w:p>
        </w:tc>
        <w:tc>
          <w:tcPr>
            <w:tcW w:type="dxa" w:w="28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Move fast. Launch with complete pricing and purchasing on day one. First-mover advantage erodes quickly.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Anderson launches a “Privacy” pillar</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bCs/>
                <w:color w:val="C62828"/>
                <w:sz w:val="18"/>
                <w:szCs w:val="18"/>
              </w:rPr>
              <w:t xml:space="preserve">Medium–High</w:t>
            </w:r>
          </w:p>
        </w:tc>
        <w:tc>
          <w:tcPr>
            <w:tcW w:type="dxa" w:w="28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They have the underlying content (10+ articles, nominee page, eBook). Repackaging takes weeks, not months.</w:t>
            </w:r>
          </w:p>
        </w:tc>
        <w:tc>
          <w:tcPr>
            <w:tcW w:type="dxa" w:w="28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Establish privacy-first brand before they reorganize. Launch 11-page Privacy pillar as priority.</w:t>
            </w:r>
          </w:p>
        </w:tc>
      </w:tr>
      <w:tr>
        <w:tc>
          <w:tcPr>
            <w:tcW w:type="dxa" w:w="24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Anderson improves pricing transparency under PE pressure</w:t>
            </w:r>
          </w:p>
        </w:tc>
        <w:tc>
          <w:tcPr>
            <w:tcW w:type="dxa" w:w="12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bCs/>
                <w:color w:val="2E7D32"/>
                <w:sz w:val="18"/>
                <w:szCs w:val="18"/>
              </w:rPr>
              <w:t xml:space="preserve">Low–Medium</w:t>
            </w:r>
          </w:p>
        </w:tc>
        <w:tc>
          <w:tcPr>
            <w:tcW w:type="dxa" w:w="28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Sun Capital could push for published pricing to reduce sales cycle length and advisor headcount.</w:t>
            </w:r>
          </w:p>
        </w:tc>
        <w:tc>
          <w:tcPr>
            <w:tcW w:type="dxa" w:w="28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Go beyond visible numbers: comparison tools, total-cost calculators, “no hidden fees” guarantees.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Anderson acquires a formation-focused competitor</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bCs/>
                <w:color w:val="2E7D32"/>
                <w:sz w:val="18"/>
                <w:szCs w:val="18"/>
              </w:rPr>
              <w:t xml:space="preserve">Low–Medium</w:t>
            </w:r>
          </w:p>
        </w:tc>
        <w:tc>
          <w:tcPr>
            <w:tcW w:type="dxa" w:w="28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Sun Capital’s strategy could include bolt-on acquisitions of self-service formation companies.</w:t>
            </w:r>
          </w:p>
        </w:tc>
        <w:tc>
          <w:tcPr>
            <w:tcW w:type="dxa" w:w="28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Build brand loyalty and niche differentiation that survives market consolidation.</w:t>
            </w:r>
          </w:p>
        </w:tc>
      </w:tr>
      <w:tr>
        <w:tc>
          <w:tcPr>
            <w:tcW w:type="dxa" w:w="24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Anderson deploys AI chatbot or self-service tools</w:t>
            </w:r>
          </w:p>
        </w:tc>
        <w:tc>
          <w:tcPr>
            <w:tcW w:type="dxa" w:w="120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center"/>
            </w:pPr>
            <w:r>
              <w:rPr>
                <w:rFonts w:ascii="Arial" w:cs="Arial" w:eastAsia="Arial" w:hAnsi="Arial"/>
                <w:b/>
                <w:bCs/>
                <w:color w:val="C62828"/>
                <w:sz w:val="18"/>
                <w:szCs w:val="18"/>
              </w:rPr>
              <w:t xml:space="preserve">Medium–High</w:t>
            </w:r>
          </w:p>
        </w:tc>
        <w:tc>
          <w:tcPr>
            <w:tcW w:type="dxa" w:w="28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Adding a chatbot reduces friction without abandoning the advisory model. Easy WordPress upgrade.</w:t>
            </w:r>
          </w:p>
        </w:tc>
        <w:tc>
          <w:tcPr>
            <w:tcW w:type="dxa" w:w="2880"/>
            <w:tcBorders>
              <w:top w:val="single" w:color="D0D5DD" w:sz="1"/>
              <w:left w:val="single" w:color="D0D5DD" w:sz="1"/>
              <w:bottom w:val="single" w:color="D0D5DD" w:sz="1"/>
              <w:right w:val="single" w:color="D0D5DD" w:sz="1"/>
            </w:tcBorders>
            <w:shd w:fill="EDF2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Deploy superior digital support tools from launch, creating a gap that takes time to close.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bCs/>
                <w:color w:val="333333"/>
                <w:sz w:val="18"/>
                <w:szCs w:val="18"/>
              </w:rPr>
              <w:t xml:space="preserve">Anderson doubles content investment in privacy keywords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center"/>
            </w:pPr>
            <w:r>
              <w:rPr>
                <w:rFonts w:ascii="Arial" w:cs="Arial" w:eastAsia="Arial" w:hAnsi="Arial"/>
                <w:b/>
                <w:bCs/>
                <w:color w:val="F57F17"/>
                <w:sz w:val="18"/>
                <w:szCs w:val="18"/>
              </w:rPr>
              <w:t xml:space="preserve">Medium</w:t>
            </w:r>
          </w:p>
        </w:tc>
        <w:tc>
          <w:tcPr>
            <w:tcW w:type="dxa" w:w="28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Could redirect content machine to 5–10 privacy pieces/month leveraging existing domain authority.</w:t>
            </w:r>
          </w:p>
        </w:tc>
        <w:tc>
          <w:tcPr>
            <w:tcW w:type="dxa" w:w="28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color w:val="333333"/>
                <w:sz w:val="18"/>
                <w:szCs w:val="18"/>
              </w:rPr>
              <w:t xml:space="preserve">Publish full Privacy pillar at launch with comprehensive depth. Target long-tail keywords first.</w:t>
            </w:r>
          </w:p>
        </w:tc>
      </w:tr>
    </w:tbl>
    <w:p>
      <w:pPr>
        <w:spacing w:before="240" w:after="0"/>
      </w:pPr>
    </w:p>
    <w:p>
      <w:pPr>
        <w:pStyle w:val="Heading1"/>
        <w:spacing w:before="360" w:after="160"/>
      </w:pPr>
      <w:r>
        <w:rPr>
          <w:rFonts w:ascii="Arial" w:cs="Arial" w:eastAsia="Arial" w:hAnsi="Arial"/>
          <w:b/>
          <w:bCs/>
          <w:color w:val="1B2A4A"/>
          <w:sz w:val="28"/>
          <w:szCs w:val="28"/>
        </w:rPr>
        <w:t xml:space="preserve">Strategic Recommendations</w:t>
      </w:r>
    </w:p>
    <w:p>
      <w:pPr>
        <w:spacing w:before="80" w:after="80" w:line="276"/>
      </w:pPr>
      <w:r>
        <w:rPr>
          <w:rFonts w:ascii="Arial" w:cs="Arial" w:eastAsia="Arial" w:hAnsi="Arial"/>
          <w:color w:val="333333"/>
          <w:sz w:val="20"/>
          <w:szCs w:val="20"/>
        </w:rPr>
        <w:t xml:space="preserve">Based on this analysis, three actions should be prioritized: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0"/>
                <w:szCs w:val="20"/>
              </w:rPr>
              <w:t xml:space="preserve">1. SPEED IS THE CRITICAL IMPERATIVE</w:t>
            </w:r>
          </w:p>
          <w:p>
            <w:pPr>
              <w:spacing w:before="0"/>
            </w:pPr>
            <w:r>
              <w:rPr>
                <w:rFonts w:ascii="Arial" w:cs="Arial" w:eastAsia="Arial" w:hAnsi="Arial"/>
                <w:color w:val="333333"/>
                <w:sz w:val="20"/>
                <w:szCs w:val="20"/>
              </w:rPr>
              <w:t xml:space="preserve">Anderson’s consultation-gated model is both their moat and their vulnerability. Launch with complete pricing, full Privacy pillar content, and functional self-service purchasing before Anderson adapts. Every month of delay increases the risk of Anderson closing these gaps.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0"/>
                <w:szCs w:val="20"/>
              </w:rPr>
              <w:t xml:space="preserve">2. CONTENT DEPTH MUST MATCH POSITIONING</w:t>
            </w:r>
          </w:p>
          <w:p>
            <w:pPr>
              <w:spacing w:before="0"/>
            </w:pPr>
            <w:r>
              <w:rPr>
                <w:rFonts w:ascii="Arial" w:cs="Arial" w:eastAsia="Arial" w:hAnsi="Arial"/>
                <w:color w:val="333333"/>
                <w:sz w:val="20"/>
                <w:szCs w:val="20"/>
              </w:rPr>
              <w:t xml:space="preserve">The 11-page Privacy pillar must be comprehensive enough to establish topical authority against Anderson’s scattered but extensive privacy content. Each cluster page needs 1,500–2,000 words of expert-level content with attorney review. Plan for a post-launch content calendar targeting 2–3 high-quality posts per week.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0"/>
                <w:szCs w:val="20"/>
              </w:rPr>
              <w:t xml:space="preserve">3. TRUST SIGNALS FROM DAY ONE</w:t>
            </w:r>
          </w:p>
          <w:p>
            <w:pPr>
              <w:spacing w:before="0"/>
            </w:pPr>
            <w:r>
              <w:rPr>
                <w:rFonts w:ascii="Arial" w:cs="Arial" w:eastAsia="Arial" w:hAnsi="Arial"/>
                <w:color w:val="333333"/>
                <w:sz w:val="20"/>
                <w:szCs w:val="20"/>
              </w:rPr>
              <w:t xml:space="preserve">Anderson’s trust infrastructure (BBB A+, Trustpilot 4.7, media logos) took decades. Incorporate123 should pursue BBB accreditation immediately, implement automated review collection (Trustpilot + Google), and feature David’s 25 years of experience prominently with verifiable credentials on every page.</w:t>
            </w:r>
          </w:p>
        </w:tc>
      </w:tr>
    </w:tbl>
    <w:p>
      <w:pPr>
        <w:spacing w:before="360" w:after="0"/>
      </w:pPr>
    </w:p>
    <w:p>
      <w:pPr>
        <w:pBdr>
          <w:top w:val="single" w:color="2E75B6" w:sz="2" w:space="8"/>
        </w:pBdr>
        <w:spacing w:before="200"/>
        <w:jc w:val="center"/>
      </w:pPr>
      <w:r>
        <w:rPr>
          <w:rFonts w:ascii="Arial" w:cs="Arial" w:eastAsia="Arial" w:hAnsi="Arial"/>
          <w:i/>
          <w:iCs/>
          <w:color w:val="555555"/>
          <w:sz w:val="18"/>
          <w:szCs w:val="18"/>
        </w:rPr>
        <w:t xml:space="preserve">Full detailed analysis available in the companion report.</w:t>
      </w:r>
    </w:p>
    <w:p>
      <w:pPr>
        <w:spacing w:before="80"/>
        <w:jc w:val="center"/>
      </w:pPr>
      <w:r>
        <w:rPr>
          <w:rFonts w:ascii="Arial" w:cs="Arial" w:eastAsia="Arial" w:hAnsi="Arial"/>
          <w:b/>
          <w:bCs/>
          <w:color w:val="2E75B6"/>
          <w:sz w:val="18"/>
          <w:szCs w:val="18"/>
        </w:rPr>
        <w:t xml:space="preserve">BIT Studios · Incorporate123 Website Redesign Project · Phase 1 Discovery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Arial" w:cs="Arial" w:eastAsia="Arial" w:hAnsi="Arial"/>
        <w:color w:val="555555"/>
        <w:sz w:val="14"/>
        <w:szCs w:val="14"/>
      </w:rPr>
      <w:t xml:space="preserve">BIT Studios · Confidential</w:t>
    </w:r>
    <w:r>
      <w:rPr>
        <w:rFonts w:ascii="Arial" w:cs="Arial" w:eastAsia="Arial" w:hAnsi="Arial"/>
        <w:color w:val="555555"/>
        <w:sz w:val="14"/>
        <w:szCs w:val="14"/>
      </w:rPr>
      <w:t xml:space="preserve">  |  Page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spacing w:after="0"/>
    </w:pPr>
    <w:r>
      <w:rPr>
        <w:rFonts w:ascii="Arial" w:cs="Arial" w:eastAsia="Arial" w:hAnsi="Arial"/>
        <w:color w:val="555555"/>
        <w:sz w:val="16"/>
        <w:szCs w:val="16"/>
      </w:rPr>
      <w:t xml:space="preserve">Anderson Advisors Competitive Analysis</w:t>
    </w:r>
    <w:r>
      <w:rPr>
        <w:rFonts w:ascii="Arial" w:cs="Arial" w:eastAsia="Arial" w:hAnsi="Arial"/>
        <w:color w:val="555555"/>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2026-03-04T19:09:54.270Z</dcterms:created>
  <dcterms:modified xsi:type="dcterms:W3CDTF">2026-03-04T19:09:54.271Z</dcterms:modified>
</cp:coreProperties>
</file>

<file path=docProps/custom.xml><?xml version="1.0" encoding="utf-8"?>
<Properties xmlns="http://schemas.openxmlformats.org/officeDocument/2006/custom-properties" xmlns:vt="http://schemas.openxmlformats.org/officeDocument/2006/docPropsVTypes"/>
</file>