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/>
              <w:left w:val="none"/>
              <w:bottom w:val="single" w:color="2E75B6" w:sz="6"/>
              <w:right w:val="none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0800"/>
              </w:tabs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ANDERSON ADVISORS: KEY FINDINGS &amp; ACTIONS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	March 2026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Incorporate123 Website Redesign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Competitive intelligence distilled into actionable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60"/>
        <w:gridCol w:w="4660"/>
      </w:tblGrid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We Found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We Use It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1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Zero self-service purchasing.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Every core service (LLC formation, nominee, registered agent, tax) requires scheduling a 45-min phone consultation. Only a $49 workshop and $2K tax package are buyable online.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Launch with full e-commerce from day one.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Clear pricing, add-to-cart, and checkout for every service. Position “Buy now in 5 minutes” against Anderson’s “Schedule a call.” This is our single biggest differentiator.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Total pricing opacity.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prices on any service page. Platinum membership ($3,495 + $75/mo) only visible on hidden upsell pages. BiggerPockets reveals negotiated discounts as low as $1,500 + $35/mo.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Transparent pricing as a trust signal.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Publish every price. Build comparison tables and a total-cost calculator. Create “Anderson Advisors pricing” content to intercept their branded searches.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3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Privacy is buried, never the lead.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10+ anonymous LLC articles and a nominee page exist, but “privacy” appears nowhere in navigation, hero content, or CTAs. Tax and asset protection always come first.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Own the privacy-first position.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Launch the 11-page Privacy pillar as our flagship content. Feature “Privacy” in primary nav and homepage hero. Target “privacy LLC” keywords Anderson treats as secondary.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4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Client count inflation (~10×).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Marketing claims 157K+ clients; Sun Capital investor docs say ~17K actual customers. Homepage shows a third number (50K+). Three different figures across the site.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Lead with verified, honest numbers.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 precise counts (“4,200+ entities formed”). Consider a subtle comparison page highlighting why accurate numbers matter for trust in this industry.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5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No FAQ schema or rich results.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Despite Q&amp;A-format content ideal for structured data, Anderson has zero FAQ or HowTo rich results in SERPs. No featured snippet optimization visible.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Implement schema markup sitewide.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FAQ, HowTo, Service, and Organization schema to every relevant page at launch. Target featured snippets for high-intent queries to leapfrog Anderson in SERPs.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6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No live chat or digital support.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 number and scheduled consultations only. No chat widget, no chatbot, no way to get a quick answer without entering the sales pipeline.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Deploy chat + AI chatbot at launch.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Live chat during business hours, AI chatbot after hours. Instant answers on pricing, timelines, and state requirements without a phone call. Lower friction = higher conversion.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7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Post-acquisition quality cracks.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Glassdoor 3.6/5 with reports of aggressive webinar sales, rushed onboarding, and quality decline since Sun Capital’s 2023 acquisition. BBB complaints about wrong filings.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Position quality and care as values.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Highlight David’s 25 years of hands-on experience. Feature accuracy guarantees. As Anderson scales under PE pressure, Incorporate123 can be the boutique, quality-first alternative.</w:t>
            </w:r>
          </w:p>
        </w:tc>
      </w:tr>
      <w:tr>
        <w:tc>
          <w:tcPr>
            <w:tcW w:type="dxa" w:w="4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8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Content engine is formidable (9/10).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400–600+ blog posts, 350+ podcast episodes, 2 YouTube channels, attorney bylines. This is Anderson’s biggest strength and will take years to match.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Don’t try to match volume—win on depth.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Launch 71 pages with expert-level depth per page. Plan 2–3 posts/week post-launch. Prioritize privacy and nominee content where Anderson is thinnest. Secure attorney or CPA bylines.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Speed is everything. Anderson’s weaknesses (no self-service, hidden pricing, buried privacy) are structural—but fixable. Launch with transparent pricing, self-service checkout, and the full Privacy pillar before they adapt.</w:t>
            </w:r>
          </w:p>
        </w:tc>
      </w:tr>
    </w:tbl>
    <w:p>
      <w:pPr>
        <w:pBdr>
          <w:top w:val="single" w:color="D0D5DD" w:sz="1" w:space="4"/>
        </w:pBdr>
        <w:tabs>
          <w:tab w:val="right" w:pos="10800"/>
        </w:tabs>
        <w:spacing w:before="100" w:after="0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BIT Studios · Confidential</w:t>
      </w:r>
      <w:r>
        <w:rPr>
          <w:rFonts w:ascii="Arial" w:cs="Arial" w:eastAsia="Arial" w:hAnsi="Arial"/>
          <w:color w:val="555555"/>
          <w:sz w:val="14"/>
          <w:szCs w:val="14"/>
        </w:rPr>
        <w:t xml:space="preserve">	Full analysis: Anderson Advisors Competitive Analysis — March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2026-03-04T19:11:55.196Z</dcterms:created>
  <dcterms:modified xsi:type="dcterms:W3CDTF">2026-03-04T19:11:55.197Z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