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0891B2"/>
          <w:sz w:val="20"/>
          <w:szCs w:val="20"/>
        </w:rPr>
        <w:t xml:space="preserve">MEETING FACILITATOR GUIDE</w:t>
      </w:r>
    </w:p>
    <w:p>
      <w:pPr>
        <w:pStyle w:val="Heading1"/>
        <w:spacing w:before="0"/>
      </w:pPr>
      <w:r>
        <w:t xml:space="preserve">Stakeholder Alignment Meeting</w:t>
      </w:r>
    </w:p>
    <w:p>
      <w:pPr>
        <w:spacing w:after="300"/>
      </w:pPr>
      <w:r>
        <w:rPr>
          <w:b/>
          <w:bCs/>
          <w:color w:val="475569"/>
        </w:rPr>
        <w:t xml:space="preserve">Date: </w:t>
      </w:r>
      <w:r>
        <w:rPr>
          <w:color w:val="475569"/>
        </w:rPr>
        <w:t xml:space="preserve">________________     </w:t>
      </w:r>
      <w:r>
        <w:rPr>
          <w:b/>
          <w:bCs/>
          <w:color w:val="475569"/>
        </w:rPr>
        <w:t xml:space="preserve">Duration: </w:t>
      </w:r>
      <w:r>
        <w:rPr>
          <w:color w:val="475569"/>
        </w:rPr>
        <w:t xml:space="preserve">75 minutes     </w:t>
      </w:r>
      <w:r>
        <w:rPr>
          <w:b/>
          <w:bCs/>
          <w:color w:val="475569"/>
        </w:rPr>
        <w:t xml:space="preserve">Attendees: </w:t>
      </w:r>
      <w:r>
        <w:rPr>
          <w:color w:val="475569"/>
        </w:rPr>
        <w:t xml:space="preserve">David (Client), Alex (BIT Studios)</w:t>
      </w:r>
    </w:p>
    <w:p>
      <w:pPr>
        <w:pStyle w:val="Heading2"/>
      </w:pPr>
      <w:r>
        <w:t xml:space="preserve">Meeting Objective</w:t>
      </w:r>
    </w:p>
    <w:p>
      <w:pPr>
        <w:spacing w:after="200"/>
      </w:pPr>
      <w:r>
        <w:t xml:space="preserve">Obtain David’s formal approval on the validated site architecture, content migration plan, and positioning framework. This is the Phase 1 milestone gate that unlocks UX &amp; Design (Weeks 2–5). No design or development work begins until this approval is secured.</w:t>
      </w:r>
    </w:p>
    <w:p>
      <w:pPr>
        <w:pStyle w:val="Heading2"/>
      </w:pPr>
      <w:r>
        <w:t xml:space="preserve">Pre-Meeting Checklist</w:t>
      </w:r>
    </w:p>
    <w:p>
      <w:pPr>
        <w:pStyle w:val="ListParagraph"/>
        <w:numPr>
          <w:ilvl w:val="0"/>
          <w:numId w:val="2"/>
        </w:numPr>
        <w:spacing w:after="60"/>
      </w:pPr>
      <w:r>
        <w:rPr>
          <w:sz w:val="22"/>
          <w:szCs w:val="22"/>
        </w:rPr>
        <w:t xml:space="preserve">Discovery Report document printed/shared with David (sent 2+ days in advance)</w:t>
      </w:r>
    </w:p>
    <w:p>
      <w:pPr>
        <w:pStyle w:val="ListParagraph"/>
        <w:numPr>
          <w:ilvl w:val="0"/>
          <w:numId w:val="2"/>
        </w:numPr>
        <w:spacing w:after="60"/>
      </w:pPr>
      <w:r>
        <w:rPr>
          <w:sz w:val="22"/>
          <w:szCs w:val="22"/>
        </w:rPr>
        <w:t xml:space="preserve">Presentation deck loaded and tested</w:t>
      </w:r>
    </w:p>
    <w:p>
      <w:pPr>
        <w:pStyle w:val="ListParagraph"/>
        <w:numPr>
          <w:ilvl w:val="0"/>
          <w:numId w:val="2"/>
        </w:numPr>
        <w:spacing w:after="60"/>
      </w:pPr>
      <w:r>
        <w:rPr>
          <w:sz w:val="22"/>
          <w:szCs w:val="22"/>
        </w:rPr>
        <w:t xml:space="preserve">Content Migration Map spreadsheet open for reference</w:t>
      </w:r>
    </w:p>
    <w:p>
      <w:pPr>
        <w:pStyle w:val="ListParagraph"/>
        <w:numPr>
          <w:ilvl w:val="0"/>
          <w:numId w:val="2"/>
        </w:numPr>
        <w:spacing w:after="60"/>
      </w:pPr>
      <w:r>
        <w:rPr>
          <w:sz w:val="22"/>
          <w:szCs w:val="22"/>
        </w:rPr>
        <w:t xml:space="preserve">Site Audit Workbook open for reference</w:t>
      </w:r>
    </w:p>
    <w:p>
      <w:pPr>
        <w:pStyle w:val="ListParagraph"/>
        <w:numPr>
          <w:ilvl w:val="0"/>
          <w:numId w:val="2"/>
        </w:numPr>
        <w:spacing w:after="60"/>
      </w:pPr>
      <w:r>
        <w:rPr>
          <w:sz w:val="22"/>
          <w:szCs w:val="22"/>
        </w:rPr>
        <w:t xml:space="preserve">Current incorporate123.co site open in browser for live comparisons</w:t>
      </w:r>
    </w:p>
    <w:p>
      <w:pPr>
        <w:pStyle w:val="ListParagraph"/>
        <w:numPr>
          <w:ilvl w:val="0"/>
          <w:numId w:val="2"/>
        </w:numPr>
        <w:spacing w:after="60"/>
      </w:pPr>
      <w:r>
        <w:rPr>
          <w:sz w:val="22"/>
          <w:szCs w:val="22"/>
        </w:rPr>
        <w:t xml:space="preserve">Validated Site Architecture document ready for page-by-page walkthrough</w:t>
      </w:r>
    </w:p>
    <w:p>
      <w:pPr>
        <w:pStyle w:val="ListParagraph"/>
        <w:numPr>
          <w:ilvl w:val="0"/>
          <w:numId w:val="2"/>
        </w:numPr>
        <w:spacing w:after="60"/>
      </w:pPr>
      <w:r>
        <w:rPr>
          <w:sz w:val="22"/>
          <w:szCs w:val="22"/>
        </w:rPr>
        <w:t xml:space="preserve">Open Decisions Document printed (one copy for David to mark up)</w:t>
      </w:r>
    </w:p>
    <w:p>
      <w:pPr>
        <w:pStyle w:val="ListParagraph"/>
        <w:numPr>
          <w:ilvl w:val="0"/>
          <w:numId w:val="2"/>
        </w:numPr>
        <w:spacing w:after="60"/>
      </w:pPr>
      <w:r>
        <w:rPr>
          <w:sz w:val="22"/>
          <w:szCs w:val="22"/>
        </w:rPr>
        <w:t xml:space="preserve">Sign-Off Form printed (physical or prepared for e-signature)</w:t>
      </w:r>
    </w:p>
    <w:p>
      <w:pPr>
        <w:pStyle w:val="Heading2"/>
        <w:spacing w:before="360"/>
      </w:pPr>
      <w:r>
        <w:t xml:space="preserve">Agenda &amp; Timing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600"/>
        <w:gridCol w:w="4060"/>
      </w:tblGrid>
      <w:tr>
        <w:tc>
          <w:tcPr>
            <w:tcW w:type="dxa" w:w="900"/>
            <w:tcBorders>
              <w:top w:val="single" w:color="E2E8F0" w:sz="1"/>
              <w:left w:val="single" w:color="E2E8F0" w:sz="1"/>
              <w:bottom w:val="single" w:color="E2E8F0" w:sz="1"/>
              <w:right w:val="single" w:color="E2E8F0"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w:t>
            </w:r>
          </w:p>
        </w:tc>
        <w:tc>
          <w:tcPr>
            <w:tcW w:type="dxa" w:w="1800"/>
            <w:tcBorders>
              <w:top w:val="single" w:color="E2E8F0" w:sz="1"/>
              <w:left w:val="single" w:color="E2E8F0" w:sz="1"/>
              <w:bottom w:val="single" w:color="E2E8F0" w:sz="1"/>
              <w:right w:val="single" w:color="E2E8F0"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Topic</w:t>
            </w:r>
          </w:p>
        </w:tc>
        <w:tc>
          <w:tcPr>
            <w:tcW w:type="dxa" w:w="2600"/>
            <w:tcBorders>
              <w:top w:val="single" w:color="E2E8F0" w:sz="1"/>
              <w:left w:val="single" w:color="E2E8F0" w:sz="1"/>
              <w:bottom w:val="single" w:color="E2E8F0" w:sz="1"/>
              <w:right w:val="single" w:color="E2E8F0"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Key Points</w:t>
            </w:r>
          </w:p>
        </w:tc>
        <w:tc>
          <w:tcPr>
            <w:tcW w:type="dxa" w:w="4060"/>
            <w:tcBorders>
              <w:top w:val="single" w:color="E2E8F0" w:sz="1"/>
              <w:left w:val="single" w:color="E2E8F0" w:sz="1"/>
              <w:bottom w:val="single" w:color="E2E8F0" w:sz="1"/>
              <w:right w:val="single" w:color="E2E8F0"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Talking Points / Notes</w:t>
            </w:r>
          </w:p>
        </w:tc>
      </w:tr>
      <w:tr>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0–10 min</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0891B2"/>
                <w:sz w:val="20"/>
                <w:szCs w:val="20"/>
              </w:rPr>
              <w:t xml:space="preserve">Strategic Opportunity</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Why repositioning wins; market gap</w:t>
            </w:r>
          </w:p>
        </w:tc>
        <w:tc>
          <w:tcPr>
            <w:tcW w:type="dxa" w:w="40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“No competitor combines modern UX, privacy expertise, transparent pricing, and nominee services. That’s your white space.” Show current vs. new positioning side-by-side.</w:t>
            </w:r>
          </w:p>
        </w:tc>
      </w:tr>
      <w:tr>
        <w:tc>
          <w:tcPr>
            <w:tcW w:type="dxa" w:w="900"/>
            <w:tcBorders>
              <w:top w:val="single" w:color="E2E8F0" w:sz="1"/>
              <w:left w:val="single" w:color="E2E8F0" w:sz="1"/>
              <w:bottom w:val="single" w:color="E2E8F0" w:sz="1"/>
              <w:right w:val="single" w:color="E2E8F0" w:sz="1"/>
            </w:tcBorders>
            <w:shd w:fill="F0F4F8" w:val="clear"/>
            <w:tcMar>
              <w:top w:type="dxa" w:w="80"/>
              <w:left w:type="dxa" w:w="120"/>
              <w:bottom w:type="dxa" w:w="80"/>
              <w:right w:type="dxa" w:w="120"/>
            </w:tcMar>
          </w:tcPr>
          <w:p>
            <w:pPr>
              <w:jc w:val="left"/>
            </w:pPr>
            <w:r>
              <w:rPr>
                <w:rFonts w:ascii="Arial" w:cs="Arial" w:eastAsia="Arial" w:hAnsi="Arial"/>
                <w:b/>
                <w:bCs/>
                <w:color w:val="1E293B"/>
                <w:sz w:val="20"/>
                <w:szCs w:val="20"/>
              </w:rPr>
              <w:t xml:space="preserve">10–25 min</w:t>
            </w:r>
          </w:p>
        </w:tc>
        <w:tc>
          <w:tcPr>
            <w:tcW w:type="dxa" w:w="1800"/>
            <w:tcBorders>
              <w:top w:val="single" w:color="E2E8F0" w:sz="1"/>
              <w:left w:val="single" w:color="E2E8F0" w:sz="1"/>
              <w:bottom w:val="single" w:color="E2E8F0" w:sz="1"/>
              <w:right w:val="single" w:color="E2E8F0" w:sz="1"/>
            </w:tcBorders>
            <w:shd w:fill="F0F4F8" w:val="clear"/>
            <w:tcMar>
              <w:top w:type="dxa" w:w="80"/>
              <w:left w:type="dxa" w:w="120"/>
              <w:bottom w:type="dxa" w:w="80"/>
              <w:right w:type="dxa" w:w="120"/>
            </w:tcMar>
          </w:tcPr>
          <w:p>
            <w:pPr>
              <w:jc w:val="left"/>
            </w:pPr>
            <w:r>
              <w:rPr>
                <w:rFonts w:ascii="Arial" w:cs="Arial" w:eastAsia="Arial" w:hAnsi="Arial"/>
                <w:b/>
                <w:bCs/>
                <w:color w:val="0891B2"/>
                <w:sz w:val="20"/>
                <w:szCs w:val="20"/>
              </w:rPr>
              <w:t xml:space="preserve">Audit &amp; Competitive Findings</w:t>
            </w:r>
          </w:p>
        </w:tc>
        <w:tc>
          <w:tcPr>
            <w:tcW w:type="dxa" w:w="2600"/>
            <w:tcBorders>
              <w:top w:val="single" w:color="E2E8F0" w:sz="1"/>
              <w:left w:val="single" w:color="E2E8F0" w:sz="1"/>
              <w:bottom w:val="single" w:color="E2E8F0" w:sz="1"/>
              <w:right w:val="single" w:color="E2E8F0"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392 URLs found, consolidation confirmed, competitor gaps</w:t>
            </w:r>
          </w:p>
        </w:tc>
        <w:tc>
          <w:tcPr>
            <w:tcW w:type="dxa" w:w="4060"/>
            <w:tcBorders>
              <w:top w:val="single" w:color="E2E8F0" w:sz="1"/>
              <w:left w:val="single" w:color="E2E8F0" w:sz="1"/>
              <w:bottom w:val="single" w:color="E2E8F0" w:sz="1"/>
              <w:right w:val="single" w:color="E2E8F0"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“The site is 2.3x larger than estimated, but the good news is most of that is duplicated FAQ content. Our consolidation strategy is even more impactful.” Walk through key stats and competitor cards.</w:t>
            </w:r>
          </w:p>
        </w:tc>
      </w:tr>
      <w:tr>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25–45 min</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0891B2"/>
                <w:sz w:val="20"/>
                <w:szCs w:val="20"/>
              </w:rPr>
              <w:t xml:space="preserve">Site Architecture Walkthrough</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Four pillars page-by-page; user journeys</w:t>
            </w:r>
          </w:p>
        </w:tc>
        <w:tc>
          <w:tcPr>
            <w:tcW w:type="dxa" w:w="40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Walk each pillar: Privacy (11 pages), AP (7), Formation (9), Compliance (5), plus packages, state hubs, utility pages. Reference user journey flows. “Every page exists to move visitors toward a package.”</w:t>
            </w:r>
          </w:p>
        </w:tc>
      </w:tr>
      <w:tr>
        <w:tc>
          <w:tcPr>
            <w:tcW w:type="dxa" w:w="900"/>
            <w:tcBorders>
              <w:top w:val="single" w:color="E2E8F0" w:sz="1"/>
              <w:left w:val="single" w:color="E2E8F0" w:sz="1"/>
              <w:bottom w:val="single" w:color="E2E8F0" w:sz="1"/>
              <w:right w:val="single" w:color="E2E8F0" w:sz="1"/>
            </w:tcBorders>
            <w:shd w:fill="F0F4F8" w:val="clear"/>
            <w:tcMar>
              <w:top w:type="dxa" w:w="80"/>
              <w:left w:type="dxa" w:w="120"/>
              <w:bottom w:type="dxa" w:w="80"/>
              <w:right w:type="dxa" w:w="120"/>
            </w:tcMar>
          </w:tcPr>
          <w:p>
            <w:pPr>
              <w:jc w:val="left"/>
            </w:pPr>
            <w:r>
              <w:rPr>
                <w:rFonts w:ascii="Arial" w:cs="Arial" w:eastAsia="Arial" w:hAnsi="Arial"/>
                <w:b/>
                <w:bCs/>
                <w:color w:val="1E293B"/>
                <w:sz w:val="20"/>
                <w:szCs w:val="20"/>
              </w:rPr>
              <w:t xml:space="preserve">45–55 min</w:t>
            </w:r>
          </w:p>
        </w:tc>
        <w:tc>
          <w:tcPr>
            <w:tcW w:type="dxa" w:w="1800"/>
            <w:tcBorders>
              <w:top w:val="single" w:color="E2E8F0" w:sz="1"/>
              <w:left w:val="single" w:color="E2E8F0" w:sz="1"/>
              <w:bottom w:val="single" w:color="E2E8F0" w:sz="1"/>
              <w:right w:val="single" w:color="E2E8F0" w:sz="1"/>
            </w:tcBorders>
            <w:shd w:fill="F0F4F8" w:val="clear"/>
            <w:tcMar>
              <w:top w:type="dxa" w:w="80"/>
              <w:left w:type="dxa" w:w="120"/>
              <w:bottom w:type="dxa" w:w="80"/>
              <w:right w:type="dxa" w:w="120"/>
            </w:tcMar>
          </w:tcPr>
          <w:p>
            <w:pPr>
              <w:jc w:val="left"/>
            </w:pPr>
            <w:r>
              <w:rPr>
                <w:rFonts w:ascii="Arial" w:cs="Arial" w:eastAsia="Arial" w:hAnsi="Arial"/>
                <w:b/>
                <w:bCs/>
                <w:color w:val="0891B2"/>
                <w:sz w:val="20"/>
                <w:szCs w:val="20"/>
              </w:rPr>
              <w:t xml:space="preserve">Content Migration</w:t>
            </w:r>
          </w:p>
        </w:tc>
        <w:tc>
          <w:tcPr>
            <w:tcW w:type="dxa" w:w="2600"/>
            <w:tcBorders>
              <w:top w:val="single" w:color="E2E8F0" w:sz="1"/>
              <w:left w:val="single" w:color="E2E8F0" w:sz="1"/>
              <w:bottom w:val="single" w:color="E2E8F0" w:sz="1"/>
              <w:right w:val="single" w:color="E2E8F0"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326→71 plan; FAQ strategy; no content lost</w:t>
            </w:r>
          </w:p>
        </w:tc>
        <w:tc>
          <w:tcPr>
            <w:tcW w:type="dxa" w:w="4060"/>
            <w:tcBorders>
              <w:top w:val="single" w:color="E2E8F0" w:sz="1"/>
              <w:left w:val="single" w:color="E2E8F0" w:sz="1"/>
              <w:bottom w:val="single" w:color="E2E8F0" w:sz="1"/>
              <w:right w:val="single" w:color="E2E8F0"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Show migration disposition chart: 9% preserve, 8% enhance, 76% consolidate, 7% retire. Emphasize: “Every URL has a mapped destination. Nothing is being deleted.” Address the 33 new pages needed.</w:t>
            </w:r>
          </w:p>
        </w:tc>
      </w:tr>
      <w:tr>
        <w:tc>
          <w:tcPr>
            <w:tcW w:type="dxa" w:w="9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1E293B"/>
                <w:sz w:val="20"/>
                <w:szCs w:val="20"/>
              </w:rPr>
              <w:t xml:space="preserve">55–70 min</w:t>
            </w:r>
          </w:p>
        </w:tc>
        <w:tc>
          <w:tcPr>
            <w:tcW w:type="dxa" w:w="18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bCs/>
                <w:color w:val="D97706"/>
                <w:sz w:val="20"/>
                <w:szCs w:val="20"/>
              </w:rPr>
              <w:t xml:space="preserve">Open Decisions</w:t>
            </w:r>
          </w:p>
        </w:tc>
        <w:tc>
          <w:tcPr>
            <w:tcW w:type="dxa" w:w="260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4 strategic questions requiring David’s input</w:t>
            </w:r>
          </w:p>
        </w:tc>
        <w:tc>
          <w:tcPr>
            <w:tcW w:type="dxa" w:w="406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Present each question with BIT Studios’ recommendation. Let David react. Document decisions in real time. (1) Domain .co vs .com, (2) Package tiers, (3) Compliance pillar scope, (4) Domain consolidation.</w:t>
            </w:r>
          </w:p>
        </w:tc>
      </w:tr>
      <w:tr>
        <w:tc>
          <w:tcPr>
            <w:tcW w:type="dxa" w:w="900"/>
            <w:tcBorders>
              <w:top w:val="single" w:color="E2E8F0" w:sz="1"/>
              <w:left w:val="single" w:color="E2E8F0" w:sz="1"/>
              <w:bottom w:val="single" w:color="E2E8F0" w:sz="1"/>
              <w:right w:val="single" w:color="E2E8F0" w:sz="1"/>
            </w:tcBorders>
            <w:shd w:fill="F0F4F8" w:val="clear"/>
            <w:tcMar>
              <w:top w:type="dxa" w:w="80"/>
              <w:left w:type="dxa" w:w="120"/>
              <w:bottom w:type="dxa" w:w="80"/>
              <w:right w:type="dxa" w:w="120"/>
            </w:tcMar>
          </w:tcPr>
          <w:p>
            <w:pPr>
              <w:jc w:val="left"/>
            </w:pPr>
            <w:r>
              <w:rPr>
                <w:rFonts w:ascii="Arial" w:cs="Arial" w:eastAsia="Arial" w:hAnsi="Arial"/>
                <w:b/>
                <w:bCs/>
                <w:color w:val="1E293B"/>
                <w:sz w:val="20"/>
                <w:szCs w:val="20"/>
              </w:rPr>
              <w:t xml:space="preserve">70–75 min</w:t>
            </w:r>
          </w:p>
        </w:tc>
        <w:tc>
          <w:tcPr>
            <w:tcW w:type="dxa" w:w="1800"/>
            <w:tcBorders>
              <w:top w:val="single" w:color="E2E8F0" w:sz="1"/>
              <w:left w:val="single" w:color="E2E8F0" w:sz="1"/>
              <w:bottom w:val="single" w:color="E2E8F0" w:sz="1"/>
              <w:right w:val="single" w:color="E2E8F0" w:sz="1"/>
            </w:tcBorders>
            <w:shd w:fill="F0F4F8" w:val="clear"/>
            <w:tcMar>
              <w:top w:type="dxa" w:w="80"/>
              <w:left w:type="dxa" w:w="120"/>
              <w:bottom w:type="dxa" w:w="80"/>
              <w:right w:type="dxa" w:w="120"/>
            </w:tcMar>
          </w:tcPr>
          <w:p>
            <w:pPr>
              <w:jc w:val="left"/>
            </w:pPr>
            <w:r>
              <w:rPr>
                <w:rFonts w:ascii="Arial" w:cs="Arial" w:eastAsia="Arial" w:hAnsi="Arial"/>
                <w:b/>
                <w:bCs/>
                <w:color w:val="059669"/>
                <w:sz w:val="20"/>
                <w:szCs w:val="20"/>
              </w:rPr>
              <w:t xml:space="preserve">Approval &amp; Next Steps</w:t>
            </w:r>
          </w:p>
        </w:tc>
        <w:tc>
          <w:tcPr>
            <w:tcW w:type="dxa" w:w="2600"/>
            <w:tcBorders>
              <w:top w:val="single" w:color="E2E8F0" w:sz="1"/>
              <w:left w:val="single" w:color="E2E8F0" w:sz="1"/>
              <w:bottom w:val="single" w:color="E2E8F0" w:sz="1"/>
              <w:right w:val="single" w:color="E2E8F0"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20"/>
                <w:szCs w:val="20"/>
              </w:rPr>
              <w:t xml:space="preserve">Formal sign-off; what happens next</w:t>
            </w:r>
          </w:p>
        </w:tc>
        <w:tc>
          <w:tcPr>
            <w:tcW w:type="dxa" w:w="4060"/>
            <w:tcBorders>
              <w:top w:val="single" w:color="E2E8F0" w:sz="1"/>
              <w:left w:val="single" w:color="E2E8F0" w:sz="1"/>
              <w:bottom w:val="single" w:color="E2E8F0" w:sz="1"/>
              <w:right w:val="single" w:color="E2E8F0" w:sz="1"/>
            </w:tcBorders>
            <w:shd w:fill="F0F4F8" w:val="clear"/>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Review the 5 approval items. Obtain signature on sign-off form. Explain next phase: UX prototyping begins immediately. “You’ll see clickable wireframes within the first week.”</w:t>
            </w:r>
          </w:p>
        </w:tc>
      </w:tr>
    </w:tbl>
    <w:p>
      <w:r>
        <w:br w:type="page"/>
      </w:r>
    </w:p>
    <w:p>
      <w:pPr>
        <w:pStyle w:val="Heading2"/>
      </w:pPr>
      <w:r>
        <w:t xml:space="preserve">Detailed Talking Points by Section</w:t>
      </w:r>
    </w:p>
    <w:p>
      <w:pPr>
        <w:pStyle w:val="Heading3"/>
      </w:pPr>
      <w:r>
        <w:t xml:space="preserve">1. The Strategic Opportunity (Slides 3)</w:t>
      </w:r>
    </w:p>
    <w:p>
      <w:pPr>
        <w:spacing w:after="100"/>
      </w:pPr>
      <w:r>
        <w:rPr>
          <w:color w:val="475569"/>
        </w:rPr>
        <w:t xml:space="preserve">The core message David needs to internalize:</w:t>
      </w:r>
    </w:p>
    <w:p>
      <w:pPr>
        <w:pStyle w:val="ListParagraph"/>
        <w:numPr>
          <w:ilvl w:val="0"/>
          <w:numId w:val="2"/>
        </w:numPr>
        <w:spacing w:after="80"/>
      </w:pPr>
      <w:r>
        <w:rPr>
          <w:sz w:val="22"/>
          <w:szCs w:val="22"/>
        </w:rPr>
        <w:t xml:space="preserve">His 25 years of expertise is his biggest asset — but the current site hides it behind a geography-first structure that makes him look like every other Nevada incorporator.</w:t>
      </w:r>
    </w:p>
    <w:p>
      <w:pPr>
        <w:pStyle w:val="ListParagraph"/>
        <w:numPr>
          <w:ilvl w:val="0"/>
          <w:numId w:val="2"/>
        </w:numPr>
        <w:spacing w:after="80"/>
      </w:pPr>
      <w:r>
        <w:rPr>
          <w:sz w:val="22"/>
          <w:szCs w:val="22"/>
        </w:rPr>
        <w:t xml:space="preserve">The privacy-focused business formation space has no dominant player with modern UX. NCH is Nevada-only. WCS charges extra for nominees. Anderson only targets real estate investors. Budget providers have zero privacy content.</w:t>
      </w:r>
    </w:p>
    <w:p>
      <w:pPr>
        <w:pStyle w:val="ListParagraph"/>
        <w:numPr>
          <w:ilvl w:val="0"/>
          <w:numId w:val="2"/>
        </w:numPr>
        <w:spacing w:after="80"/>
      </w:pPr>
      <w:r>
        <w:rPr>
          <w:sz w:val="22"/>
          <w:szCs w:val="22"/>
        </w:rPr>
        <w:t xml:space="preserve">The new positioning — "Privacy, Asset Protection &amp; Business Formation Specialists" — captures a wide-open market position.</w:t>
      </w:r>
    </w:p>
    <w:p>
      <w:pPr>
        <w:pStyle w:val="ListParagraph"/>
        <w:numPr>
          <w:ilvl w:val="0"/>
          <w:numId w:val="2"/>
        </w:numPr>
        <w:spacing w:after="80"/>
      </w:pPr>
      <w:r>
        <w:rPr>
          <w:sz w:val="22"/>
          <w:szCs w:val="22"/>
        </w:rPr>
        <w:t xml:space="preserve">Privacy keywords (anonymous LLC, nominee services, best state for privacy) have meaningful search volume with minimal competition. This is where the SEO opportunity lives.</w:t>
      </w:r>
    </w:p>
    <w:p>
      <w:pPr>
        <w:pStyle w:val="Heading3"/>
      </w:pPr>
      <w:r>
        <w:t xml:space="preserve">2. Audit &amp; Competitive Findings (Slides 4–5)</w:t>
      </w:r>
    </w:p>
    <w:p>
      <w:pPr>
        <w:spacing w:after="100"/>
      </w:pPr>
      <w:r>
        <w:rPr>
          <w:color w:val="475569"/>
        </w:rPr>
        <w:t xml:space="preserve">Expect David to react to the scale difference (392 vs 171 URLs):</w:t>
      </w:r>
    </w:p>
    <w:p>
      <w:pPr>
        <w:pStyle w:val="ListParagraph"/>
        <w:numPr>
          <w:ilvl w:val="0"/>
          <w:numId w:val="2"/>
        </w:numPr>
        <w:spacing w:after="80"/>
      </w:pPr>
      <w:r>
        <w:rPr>
          <w:sz w:val="22"/>
          <w:szCs w:val="22"/>
        </w:rPr>
        <w:t xml:space="preserve">Frame it positively: "The site is bigger than we estimated, but the consolidation math actually works better — there’s more duplicate content to clean up, which means the new 71-page structure carries even more concentrated authority."</w:t>
      </w:r>
    </w:p>
    <w:p>
      <w:pPr>
        <w:pStyle w:val="ListParagraph"/>
        <w:numPr>
          <w:ilvl w:val="0"/>
          <w:numId w:val="2"/>
        </w:numPr>
        <w:spacing w:after="80"/>
      </w:pPr>
      <w:r>
        <w:rPr>
          <w:sz w:val="22"/>
          <w:szCs w:val="22"/>
        </w:rPr>
        <w:t xml:space="preserve">Key stat: 188 FAQ items (vs. 111 estimated) across 244 Learning Center URLs. Most are duplicated across multiple category paths.</w:t>
      </w:r>
    </w:p>
    <w:p>
      <w:pPr>
        <w:pStyle w:val="ListParagraph"/>
        <w:numPr>
          <w:ilvl w:val="0"/>
          <w:numId w:val="2"/>
        </w:numPr>
        <w:spacing w:after="80"/>
      </w:pPr>
      <w:r>
        <w:rPr>
          <w:sz w:val="22"/>
          <w:szCs w:val="22"/>
        </w:rPr>
        <w:t xml:space="preserve">Zero H1 tags is the single most impactful quick win — explain that search engines literally can’t tell what any page is about.</w:t>
      </w:r>
    </w:p>
    <w:p>
      <w:pPr>
        <w:pStyle w:val="ListParagraph"/>
        <w:numPr>
          <w:ilvl w:val="0"/>
          <w:numId w:val="2"/>
        </w:numPr>
        <w:spacing w:after="80"/>
      </w:pPr>
      <w:r>
        <w:rPr>
          <w:sz w:val="22"/>
          <w:szCs w:val="22"/>
        </w:rPr>
        <w:t xml:space="preserve">Competitor positioning: show the four competitor cards and emphasize that each has a clear weakness Incorporate123 can exploit.</w:t>
      </w:r>
    </w:p>
    <w:p>
      <w:pPr>
        <w:pStyle w:val="Heading3"/>
      </w:pPr>
      <w:r>
        <w:t xml:space="preserve">3. Site Architecture Walkthrough (Slides 6–8)</w:t>
      </w:r>
    </w:p>
    <w:p>
      <w:pPr>
        <w:spacing w:after="100"/>
      </w:pPr>
      <w:r>
        <w:rPr>
          <w:color w:val="475569"/>
        </w:rPr>
        <w:t xml:space="preserve">This is the longest section. Keep David engaged by tying each pillar to revenue:</w:t>
      </w:r>
    </w:p>
    <w:p>
      <w:pPr>
        <w:pStyle w:val="ListParagraph"/>
        <w:numPr>
          <w:ilvl w:val="0"/>
          <w:numId w:val="2"/>
        </w:numPr>
        <w:spacing w:after="80"/>
      </w:pPr>
      <w:r>
        <w:rPr>
          <w:sz w:val="22"/>
          <w:szCs w:val="22"/>
        </w:rPr>
        <w:t xml:space="preserve">Privacy Pillar (11 pages): “This is your lead pillar. Most visitors arrive searching for privacy. Every page here funnels toward Gold packages.”</w:t>
      </w:r>
    </w:p>
    <w:p>
      <w:pPr>
        <w:pStyle w:val="ListParagraph"/>
        <w:numPr>
          <w:ilvl w:val="0"/>
          <w:numId w:val="2"/>
        </w:numPr>
        <w:spacing w:after="80"/>
      </w:pPr>
      <w:r>
        <w:rPr>
          <w:sz w:val="22"/>
          <w:szCs w:val="22"/>
        </w:rPr>
        <w:t xml:space="preserve">Asset Protection (7 pages): “This is the cross-sell. Privacy visitors who also need AP represent 30–40% upsell potential.”</w:t>
      </w:r>
    </w:p>
    <w:p>
      <w:pPr>
        <w:pStyle w:val="ListParagraph"/>
        <w:numPr>
          <w:ilvl w:val="0"/>
          <w:numId w:val="2"/>
        </w:numPr>
        <w:spacing w:after="80"/>
      </w:pPr>
      <w:r>
        <w:rPr>
          <w:sz w:val="22"/>
          <w:szCs w:val="22"/>
        </w:rPr>
        <w:t xml:space="preserve">Formation (9 pages): “Captures the direct buyer who already knows what they want. Silver packages for formation-only, with clear upgrade path to Gold.”</w:t>
      </w:r>
    </w:p>
    <w:p>
      <w:pPr>
        <w:pStyle w:val="ListParagraph"/>
        <w:numPr>
          <w:ilvl w:val="0"/>
          <w:numId w:val="2"/>
        </w:numPr>
        <w:spacing w:after="80"/>
      </w:pPr>
      <w:r>
        <w:rPr>
          <w:sz w:val="22"/>
          <w:szCs w:val="22"/>
        </w:rPr>
        <w:t xml:space="preserve">Compliance (5 pages): “Retention play. Existing clients come back for registered agent, annual reports, domestication. Reduces churn.”</w:t>
      </w:r>
    </w:p>
    <w:p>
      <w:pPr>
        <w:pStyle w:val="ListParagraph"/>
        <w:numPr>
          <w:ilvl w:val="0"/>
          <w:numId w:val="2"/>
        </w:numPr>
        <w:spacing w:after="80"/>
      </w:pPr>
      <w:r>
        <w:rPr>
          <w:sz w:val="22"/>
          <w:szCs w:val="22"/>
        </w:rPr>
        <w:t xml:space="preserve">Conversion flow: Pillar (educate) → Cluster (specifics) → Comparison (decide) → Package (buy). Every page type has a clear role.</w:t>
      </w:r>
    </w:p>
    <w:p>
      <w:pPr>
        <w:pStyle w:val="ListParagraph"/>
        <w:numPr>
          <w:ilvl w:val="0"/>
          <w:numId w:val="2"/>
        </w:numPr>
        <w:spacing w:after="80"/>
      </w:pPr>
      <w:r>
        <w:rPr>
          <w:sz w:val="22"/>
          <w:szCs w:val="22"/>
        </w:rPr>
        <w:t xml:space="preserve">Cross-pillar connections: 14 pages serve multiple pillars — nominee services, LLC vs Corporation, charging order protection. These prevent silos.</w:t>
      </w:r>
    </w:p>
    <w:p>
      <w:pPr>
        <w:pStyle w:val="Heading3"/>
      </w:pPr>
      <w:r>
        <w:t xml:space="preserve">4. Content Migration Plan (Slide 9)</w:t>
      </w:r>
    </w:p>
    <w:p>
      <w:pPr>
        <w:spacing w:after="100"/>
      </w:pPr>
      <w:r>
        <w:rPr>
          <w:color w:val="475569"/>
        </w:rPr>
        <w:t xml:space="preserve">David’s main concern will be: "Are we losing anything?" Answer definitively:</w:t>
      </w:r>
    </w:p>
    <w:p>
      <w:pPr>
        <w:pStyle w:val="ListParagraph"/>
        <w:numPr>
          <w:ilvl w:val="0"/>
          <w:numId w:val="2"/>
        </w:numPr>
        <w:spacing w:after="80"/>
      </w:pPr>
      <w:r>
        <w:rPr>
          <w:sz w:val="22"/>
          <w:szCs w:val="22"/>
        </w:rPr>
        <w:t xml:space="preserve">“Every single URL has been mapped to a destination. We’re not deleting content — we’re reorganizing it so it actually works.”</w:t>
      </w:r>
    </w:p>
    <w:p>
      <w:pPr>
        <w:pStyle w:val="ListParagraph"/>
        <w:numPr>
          <w:ilvl w:val="0"/>
          <w:numId w:val="2"/>
        </w:numPr>
        <w:spacing w:after="80"/>
      </w:pPr>
      <w:r>
        <w:rPr>
          <w:sz w:val="22"/>
          <w:szCs w:val="22"/>
        </w:rPr>
        <w:t xml:space="preserve">Show the disposition breakdown: 76% consolidate (primarily FAQ items merging into contextual sections), 9% preserve, 8% enhance, 7% retire.</w:t>
      </w:r>
    </w:p>
    <w:p>
      <w:pPr>
        <w:pStyle w:val="ListParagraph"/>
        <w:numPr>
          <w:ilvl w:val="0"/>
          <w:numId w:val="2"/>
        </w:numPr>
        <w:spacing w:after="80"/>
      </w:pPr>
      <w:r>
        <w:rPr>
          <w:sz w:val="22"/>
          <w:szCs w:val="22"/>
        </w:rPr>
        <w:t xml:space="preserve">Explain the three-tier FAQ strategy: ~140 items directly assigned, ~30 multi-relevant items placed on primary + linked from secondary, ~18 general items go to FAQ hub page.</w:t>
      </w:r>
    </w:p>
    <w:p>
      <w:pPr>
        <w:pStyle w:val="ListParagraph"/>
        <w:numPr>
          <w:ilvl w:val="0"/>
          <w:numId w:val="2"/>
        </w:numPr>
        <w:spacing w:after="80"/>
      </w:pPr>
      <w:r>
        <w:rPr>
          <w:sz w:val="22"/>
          <w:szCs w:val="22"/>
        </w:rPr>
        <w:t xml:space="preserve">33 new pages fill gaps identified by competitive analysis — these represent the highest-value SEO opportunities (anonymous LLC guide, nominee services, comparison pages).</w:t>
      </w:r>
    </w:p>
    <w:p>
      <w:pPr>
        <w:pStyle w:val="ListParagraph"/>
        <w:numPr>
          <w:ilvl w:val="0"/>
          <w:numId w:val="2"/>
        </w:numPr>
        <w:spacing w:after="80"/>
      </w:pPr>
      <w:r>
        <w:rPr>
          <w:sz w:val="22"/>
          <w:szCs w:val="22"/>
        </w:rPr>
        <w:t xml:space="preserve">301 redirects: every old URL redirects to the most relevant new page. 117 individual redirect rules plus 4 bulk patterns.</w:t>
      </w:r>
    </w:p>
    <w:p>
      <w:r>
        <w:br w:type="page"/>
      </w:r>
    </w:p>
    <w:p>
      <w:pPr>
        <w:pStyle w:val="Heading3"/>
      </w:pPr>
      <w:r>
        <w:t xml:space="preserve">5. Open Strategic Decisions (Slide 11)</w:t>
      </w:r>
    </w:p>
    <w:p>
      <w:pPr>
        <w:spacing w:after="200"/>
      </w:pPr>
      <w:r>
        <w:rPr>
          <w:color w:val="475569"/>
        </w:rPr>
        <w:t xml:space="preserve">These are the decisions that must be made before UX begins. Present each with a clear recommendation and rationale.</w:t>
      </w:r>
    </w:p>
    <w:p>
      <w:pPr>
        <w:pStyle w:val="Heading3"/>
        <w:spacing w:before="120"/>
      </w:pPr>
      <w:r>
        <w:rPr>
          <w:color w:val="D97706"/>
        </w:rPr>
        <w:t xml:space="preserve">Decision 1: Primary Domain (.co vs .com)</w:t>
      </w:r>
    </w:p>
    <w:p>
      <w:pPr>
        <w:pStyle w:val="ListParagraph"/>
        <w:numPr>
          <w:ilvl w:val="0"/>
          <w:numId w:val="2"/>
        </w:numPr>
        <w:spacing w:after="80"/>
      </w:pPr>
      <w:r>
        <w:rPr>
          <w:sz w:val="22"/>
          <w:szCs w:val="22"/>
        </w:rPr>
        <w:t xml:space="preserve">Question: Should the new site live at incorporate123.com or incorporate123.co?</w:t>
      </w:r>
    </w:p>
    <w:p>
      <w:pPr>
        <w:pStyle w:val="ListParagraph"/>
        <w:numPr>
          <w:ilvl w:val="0"/>
          <w:numId w:val="2"/>
        </w:numPr>
        <w:spacing w:after="80"/>
      </w:pPr>
      <w:r>
        <w:rPr>
          <w:sz w:val="22"/>
          <w:szCs w:val="22"/>
        </w:rPr>
        <w:t xml:space="preserve">Recommendation: Migrate to .com. The temporary SEO dip (1–3 months) is worth the long-term brand trust advantage.</w:t>
      </w:r>
    </w:p>
    <w:p>
      <w:pPr>
        <w:pStyle w:val="ListParagraph"/>
        <w:numPr>
          <w:ilvl w:val="0"/>
          <w:numId w:val="2"/>
        </w:numPr>
        <w:spacing w:after="80"/>
      </w:pPr>
      <w:r>
        <w:rPr>
          <w:sz w:val="22"/>
          <w:szCs w:val="22"/>
        </w:rPr>
        <w:t xml:space="preserve">Key argument: Since URLs are already being restructured for the redesign, the domain migration happens simultaneously — it’s essentially a wash. Only one disruption instead of two.</w:t>
      </w:r>
    </w:p>
    <w:p>
      <w:pPr>
        <w:pStyle w:val="ListParagraph"/>
        <w:numPr>
          <w:ilvl w:val="0"/>
          <w:numId w:val="2"/>
        </w:numPr>
        <w:spacing w:after="80"/>
      </w:pPr>
      <w:r>
        <w:rPr>
          <w:sz w:val="22"/>
          <w:szCs w:val="22"/>
        </w:rPr>
        <w:t xml:space="preserve">All 20+ secondary domains (offshore123, wyoming123, nevada123, etc.) should 301 redirect to the primary .com domain.</w:t>
      </w:r>
    </w:p>
    <w:p>
      <w:pPr>
        <w:pStyle w:val="ListParagraph"/>
        <w:numPr>
          <w:ilvl w:val="0"/>
          <w:numId w:val="2"/>
        </w:numPr>
        <w:spacing w:after="80"/>
      </w:pPr>
      <w:r>
        <w:rPr>
          <w:sz w:val="22"/>
          <w:szCs w:val="22"/>
        </w:rPr>
        <w:t xml:space="preserve">If David resists: offer to run the domain portfolio through a backlink analysis to show whether .co has significant authority worth preserving. In most cases, the answer is no.</w:t>
      </w:r>
    </w:p>
    <w:p>
      <w:pPr>
        <w:pStyle w:val="Heading3"/>
        <w:spacing w:before="200"/>
      </w:pPr>
      <w:r>
        <w:rPr>
          <w:color w:val="D97706"/>
        </w:rPr>
        <w:t xml:space="preserve">Decision 2: Package Structure (Gold/Silver/Bronze)</w:t>
      </w:r>
    </w:p>
    <w:p>
      <w:pPr>
        <w:pStyle w:val="ListParagraph"/>
        <w:numPr>
          <w:ilvl w:val="0"/>
          <w:numId w:val="2"/>
        </w:numPr>
        <w:spacing w:after="80"/>
      </w:pPr>
      <w:r>
        <w:rPr>
          <w:sz w:val="22"/>
          <w:szCs w:val="22"/>
        </w:rPr>
        <w:t xml:space="preserve">Question: Confirm the Gold/Silver/Bronze tier structure and whether Bronze remains Nevada-only.</w:t>
      </w:r>
    </w:p>
    <w:p>
      <w:pPr>
        <w:pStyle w:val="ListParagraph"/>
        <w:numPr>
          <w:ilvl w:val="0"/>
          <w:numId w:val="2"/>
        </w:numPr>
        <w:spacing w:after="80"/>
      </w:pPr>
      <w:r>
        <w:rPr>
          <w:sz w:val="22"/>
          <w:szCs w:val="22"/>
        </w:rPr>
        <w:t xml:space="preserve">Recommendation: Maintain the 3-tier structure. Gold is the hero product (privacy + nominees). Silver is the entry point (formation without privacy). Bronze captures price-sensitive Nevada leads.</w:t>
      </w:r>
    </w:p>
    <w:p>
      <w:pPr>
        <w:pStyle w:val="ListParagraph"/>
        <w:numPr>
          <w:ilvl w:val="0"/>
          <w:numId w:val="2"/>
        </w:numPr>
        <w:spacing w:after="80"/>
      </w:pPr>
      <w:r>
        <w:rPr>
          <w:sz w:val="22"/>
          <w:szCs w:val="22"/>
        </w:rPr>
        <w:t xml:space="preserve">Key argument: The conversion architecture depends on clear upgrade paths. Silver visitors see what Gold adds. Bronze visitors see what Silver and Gold add. This progressive disclosure drives AOV.</w:t>
      </w:r>
    </w:p>
    <w:p>
      <w:pPr>
        <w:pStyle w:val="ListParagraph"/>
        <w:numPr>
          <w:ilvl w:val="0"/>
          <w:numId w:val="2"/>
        </w:numPr>
        <w:spacing w:after="80"/>
      </w:pPr>
      <w:r>
        <w:rPr>
          <w:sz w:val="22"/>
          <w:szCs w:val="22"/>
        </w:rPr>
        <w:t xml:space="preserve">Specific items to confirm: package naming, included services per tier, whether offshore packages remain separate or integrate into the tier system.</w:t>
      </w:r>
    </w:p>
    <w:p>
      <w:pPr>
        <w:pStyle w:val="ListParagraph"/>
        <w:numPr>
          <w:ilvl w:val="0"/>
          <w:numId w:val="2"/>
        </w:numPr>
        <w:spacing w:after="80"/>
      </w:pPr>
      <w:r>
        <w:rPr>
          <w:sz w:val="22"/>
          <w:szCs w:val="22"/>
        </w:rPr>
        <w:t xml:space="preserve">If David wants to simplify: discuss the revenue impact of removing Bronze — it catches visitors who might otherwise bounce to free providers.</w:t>
      </w:r>
    </w:p>
    <w:p>
      <w:pPr>
        <w:pStyle w:val="Heading3"/>
        <w:spacing w:before="200"/>
      </w:pPr>
      <w:r>
        <w:rPr>
          <w:color w:val="D97706"/>
        </w:rPr>
        <w:t xml:space="preserve">Decision 3: Compliance Pillar Scope</w:t>
      </w:r>
    </w:p>
    <w:p>
      <w:pPr>
        <w:pStyle w:val="ListParagraph"/>
        <w:numPr>
          <w:ilvl w:val="0"/>
          <w:numId w:val="2"/>
        </w:numPr>
        <w:spacing w:after="80"/>
      </w:pPr>
      <w:r>
        <w:rPr>
          <w:sz w:val="22"/>
          <w:szCs w:val="22"/>
        </w:rPr>
        <w:t xml:space="preserve">Question: Should Compliance be a full pillar with its own hub page, or should compliance content be distributed as supporting content within the other three pillars?</w:t>
      </w:r>
    </w:p>
    <w:p>
      <w:pPr>
        <w:pStyle w:val="ListParagraph"/>
        <w:numPr>
          <w:ilvl w:val="0"/>
          <w:numId w:val="2"/>
        </w:numPr>
        <w:spacing w:after="80"/>
      </w:pPr>
      <w:r>
        <w:rPr>
          <w:sz w:val="22"/>
          <w:szCs w:val="22"/>
        </w:rPr>
        <w:t xml:space="preserve">Recommendation: Full pillar. Five pages: hub, registered agent, annual reports, domestication, foreign registration.</w:t>
      </w:r>
    </w:p>
    <w:p>
      <w:pPr>
        <w:pStyle w:val="ListParagraph"/>
        <w:numPr>
          <w:ilvl w:val="0"/>
          <w:numId w:val="2"/>
        </w:numPr>
        <w:spacing w:after="80"/>
      </w:pPr>
      <w:r>
        <w:rPr>
          <w:sz w:val="22"/>
          <w:szCs w:val="22"/>
        </w:rPr>
        <w:t xml:space="preserve">Key argument for full pillar: (1) Registered agent services are in every package — a dedicated page justifies the included value. (2) Compliance captures existing client retention — these are returning visitors, not new prospects. (3) Domestication and foreign registration have standalone search volume.</w:t>
      </w:r>
    </w:p>
    <w:p>
      <w:pPr>
        <w:pStyle w:val="ListParagraph"/>
        <w:numPr>
          <w:ilvl w:val="0"/>
          <w:numId w:val="2"/>
        </w:numPr>
        <w:spacing w:after="80"/>
      </w:pPr>
      <w:r>
        <w:rPr>
          <w:sz w:val="22"/>
          <w:szCs w:val="22"/>
        </w:rPr>
        <w:t xml:space="preserve">Key argument against: Compliance content could live as sections within Formation and Privacy pages, reducing the page count and keeping navigation simpler.</w:t>
      </w:r>
    </w:p>
    <w:p>
      <w:pPr>
        <w:pStyle w:val="ListParagraph"/>
        <w:numPr>
          <w:ilvl w:val="0"/>
          <w:numId w:val="2"/>
        </w:numPr>
        <w:spacing w:after="80"/>
      </w:pPr>
      <w:r>
        <w:rPr>
          <w:sz w:val="22"/>
          <w:szCs w:val="22"/>
        </w:rPr>
        <w:t xml:space="preserve">If David is unsure: suggest starting as a full pillar (easy to collapse later), rather than distributing content (hard to reorganize later).</w:t>
      </w:r>
    </w:p>
    <w:p>
      <w:pPr>
        <w:pStyle w:val="Heading3"/>
        <w:spacing w:before="200"/>
      </w:pPr>
      <w:r>
        <w:rPr>
          <w:color w:val="D97706"/>
        </w:rPr>
        <w:t xml:space="preserve">Decision 4: Domain Portfolio Consolidation</w:t>
      </w:r>
    </w:p>
    <w:p>
      <w:pPr>
        <w:pStyle w:val="ListParagraph"/>
        <w:numPr>
          <w:ilvl w:val="0"/>
          <w:numId w:val="2"/>
        </w:numPr>
        <w:spacing w:after="80"/>
      </w:pPr>
      <w:r>
        <w:rPr>
          <w:sz w:val="22"/>
          <w:szCs w:val="22"/>
        </w:rPr>
        <w:t xml:space="preserve">Question: David owns 20+ domains including offshore123.com, wyoming123.com, nevada123.com (multiple TLDs), nevada-corporation.net, businesswithoutborders.global. Should any get standalone content?</w:t>
      </w:r>
    </w:p>
    <w:p>
      <w:pPr>
        <w:pStyle w:val="ListParagraph"/>
        <w:numPr>
          <w:ilvl w:val="0"/>
          <w:numId w:val="2"/>
        </w:numPr>
        <w:spacing w:after="80"/>
      </w:pPr>
      <w:r>
        <w:rPr>
          <w:sz w:val="22"/>
          <w:szCs w:val="22"/>
        </w:rPr>
        <w:t xml:space="preserve">Recommendation: All domains redirect to the primary domain. No standalone content strategies.</w:t>
      </w:r>
    </w:p>
    <w:p>
      <w:pPr>
        <w:pStyle w:val="ListParagraph"/>
        <w:numPr>
          <w:ilvl w:val="0"/>
          <w:numId w:val="2"/>
        </w:numPr>
        <w:spacing w:after="80"/>
      </w:pPr>
      <w:r>
        <w:rPr>
          <w:sz w:val="22"/>
          <w:szCs w:val="22"/>
        </w:rPr>
        <w:t xml:space="preserve">Key argument: Pointing multiple domains to one site no longer provides SEO benefit. Splitting content across domains dilutes authority. One strong domain with 71 focused pages beats five weak domains.</w:t>
      </w:r>
    </w:p>
    <w:p>
      <w:pPr>
        <w:pStyle w:val="ListParagraph"/>
        <w:numPr>
          <w:ilvl w:val="0"/>
          <w:numId w:val="2"/>
        </w:numPr>
        <w:spacing w:after="80"/>
      </w:pPr>
      <w:r>
        <w:rPr>
          <w:sz w:val="22"/>
          <w:szCs w:val="22"/>
        </w:rPr>
        <w:t xml:space="preserve">Possible exception to discuss: businesswithoutborders.global could theoretically serve an international audience, but only if there’s budget for a separate content strategy. For now, redirect.</w:t>
      </w:r>
    </w:p>
    <w:p>
      <w:pPr>
        <w:pStyle w:val="ListParagraph"/>
        <w:numPr>
          <w:ilvl w:val="0"/>
          <w:numId w:val="2"/>
        </w:numPr>
        <w:spacing w:after="80"/>
      </w:pPr>
      <w:r>
        <w:rPr>
          <w:sz w:val="22"/>
          <w:szCs w:val="22"/>
        </w:rPr>
        <w:t xml:space="preserve">Action item regardless of decision: Review all domains for existing backlink profiles to ensure no valuable links are lost in consolidation.</w:t>
      </w:r>
    </w:p>
    <w:p>
      <w:pPr>
        <w:pStyle w:val="Heading3"/>
        <w:spacing w:before="300"/>
      </w:pPr>
      <w:r>
        <w:t xml:space="preserve">6. Approval &amp; Next Steps (Slide 14)</w:t>
      </w:r>
    </w:p>
    <w:p>
      <w:pPr>
        <w:spacing w:after="100"/>
      </w:pPr>
      <w:r>
        <w:rPr>
          <w:color w:val="475569"/>
        </w:rPr>
        <w:t xml:space="preserve">Close strong. Summarize what’s been agreed and paint the picture of what comes next:</w:t>
      </w:r>
    </w:p>
    <w:p>
      <w:pPr>
        <w:pStyle w:val="ListParagraph"/>
        <w:numPr>
          <w:ilvl w:val="0"/>
          <w:numId w:val="2"/>
        </w:numPr>
        <w:spacing w:after="80"/>
      </w:pPr>
      <w:r>
        <w:rPr>
          <w:sz w:val="22"/>
          <w:szCs w:val="22"/>
        </w:rPr>
        <w:t xml:space="preserve">Review the five approval items explicitly. Read each one and get a verbal yes.</w:t>
      </w:r>
    </w:p>
    <w:p>
      <w:pPr>
        <w:pStyle w:val="ListParagraph"/>
        <w:numPr>
          <w:ilvl w:val="0"/>
          <w:numId w:val="2"/>
        </w:numPr>
        <w:spacing w:after="80"/>
      </w:pPr>
      <w:r>
        <w:rPr>
          <w:sz w:val="22"/>
          <w:szCs w:val="22"/>
        </w:rPr>
        <w:t xml:space="preserve">If David wants to "think about it" on any item, set a specific deadline (48 hours max). The project timeline depends on this gate.</w:t>
      </w:r>
    </w:p>
    <w:p>
      <w:pPr>
        <w:pStyle w:val="ListParagraph"/>
        <w:numPr>
          <w:ilvl w:val="0"/>
          <w:numId w:val="2"/>
        </w:numPr>
        <w:spacing w:after="80"/>
      </w:pPr>
      <w:r>
        <w:rPr>
          <w:sz w:val="22"/>
          <w:szCs w:val="22"/>
        </w:rPr>
        <w:t xml:space="preserve">Explain what happens immediately after approval: UX prototyping starts within 24 hours. David will see clickable wireframes for the homepage within the first week.</w:t>
      </w:r>
    </w:p>
    <w:p>
      <w:pPr>
        <w:pStyle w:val="ListParagraph"/>
        <w:numPr>
          <w:ilvl w:val="0"/>
          <w:numId w:val="2"/>
        </w:numPr>
        <w:spacing w:after="80"/>
      </w:pPr>
      <w:r>
        <w:rPr>
          <w:sz w:val="22"/>
          <w:szCs w:val="22"/>
        </w:rPr>
        <w:t xml:space="preserve">Remind David of the rolling approval model: "You approve as we go. Homepage prototype first, then section by section."</w:t>
      </w:r>
    </w:p>
    <w:p>
      <w:pPr>
        <w:pStyle w:val="ListParagraph"/>
        <w:numPr>
          <w:ilvl w:val="0"/>
          <w:numId w:val="2"/>
        </w:numPr>
        <w:spacing w:after="80"/>
      </w:pPr>
      <w:r>
        <w:rPr>
          <w:sz w:val="22"/>
          <w:szCs w:val="22"/>
        </w:rPr>
        <w:t xml:space="preserve">Set expectations for next client touchpoint: first prototype review meeting, likely 1 week from approval.</w:t>
      </w:r>
    </w:p>
    <w:p>
      <w:r>
        <w:br w:type="page"/>
      </w:r>
    </w:p>
    <w:p>
      <w:pPr>
        <w:pStyle w:val="Heading2"/>
      </w:pPr>
      <w:r>
        <w:t xml:space="preserve">Potential Objections &amp;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2E8F0" w:sz="1"/>
              <w:left w:val="single" w:color="E2E8F0" w:sz="1"/>
              <w:bottom w:val="single" w:color="E2E8F0" w:sz="1"/>
              <w:right w:val="single" w:color="E2E8F0"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Objection</w:t>
            </w:r>
          </w:p>
        </w:tc>
        <w:tc>
          <w:tcPr>
            <w:tcW w:type="dxa" w:w="6240"/>
            <w:tcBorders>
              <w:top w:val="single" w:color="E2E8F0" w:sz="1"/>
              <w:left w:val="single" w:color="E2E8F0" w:sz="1"/>
              <w:bottom w:val="single" w:color="E2E8F0" w:sz="1"/>
              <w:right w:val="single" w:color="E2E8F0" w:sz="1"/>
            </w:tcBorders>
            <w:shd w:fill="1A274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Response</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18"/>
                <w:szCs w:val="18"/>
              </w:rPr>
              <w:t xml:space="preserve">"Why are we going from 326 to only 71 pages? That seems like we're losing content."</w:t>
            </w:r>
          </w:p>
        </w:tc>
        <w:tc>
          <w:tcPr>
            <w:tcW w:type="dxa" w:w="62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"Not a single piece of valuable content is being deleted. We're consolidating fragmented content into focused, authoritative pages. Think of it like reorganizing a filing cabinet — the papers are all still there, just organized so people can actually find what they need."</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18"/>
                <w:szCs w:val="18"/>
              </w:rPr>
              <w:t xml:space="preserve">"Will we lose our Google rankings during migration?"</w:t>
            </w:r>
          </w:p>
        </w:tc>
        <w:tc>
          <w:tcPr>
            <w:tcW w:type="dxa" w:w="62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"There will be a temporary dip — that’s normal for any migration. But with 301 redirects on every URL, Google transfers the authority to the new pages. Typically recovers within 4–8 weeks. The long-term gain in rankings from better architecture and proper SEO far outweighs the short-term dip."</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18"/>
                <w:szCs w:val="18"/>
              </w:rPr>
              <w:t xml:space="preserve">"I'm worried about the .com migration on top of the URL restructure."</w:t>
            </w:r>
          </w:p>
        </w:tc>
        <w:tc>
          <w:tcPr>
            <w:tcW w:type="dxa" w:w="62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"Actually, doing both at once is strategically better than doing them separately. One disruption instead of two. And since every URL is already getting a new path, the domain change is essentially free — the redirects handle both simultaneously."</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18"/>
                <w:szCs w:val="18"/>
              </w:rPr>
              <w:t xml:space="preserve">"Is the Compliance pillar really necessary?"</w:t>
            </w:r>
          </w:p>
        </w:tc>
        <w:tc>
          <w:tcPr>
            <w:tcW w:type="dxa" w:w="62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"It serves your existing clients — the ones who come back for registered agent renewals, annual reports, and domestication. Without a dedicated section, these returning visitors have to hunt for services. It’s also your retention play — easier to upsell compliance services when they have their own home."</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18"/>
                <w:szCs w:val="18"/>
              </w:rPr>
              <w:t xml:space="preserve">"Our competitors have thousands of reviews. How do we compete with zero?"</w:t>
            </w:r>
          </w:p>
        </w:tc>
        <w:tc>
          <w:tcPr>
            <w:tcW w:type="dxa" w:w="62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"Reviews are a gap we’ll address systematically. Pre-launch: set up Trustpilot, start requesting reviews from existing clients. At launch: your 25-year track record, real office photos, David’s expertise bio, and money-back guarantee create alternative trust signals. Target: 100+ reviews within 6 months."</w:t>
            </w:r>
          </w:p>
        </w:tc>
      </w:tr>
      <w:tr>
        <w:tc>
          <w:tcPr>
            <w:tcW w:type="dxa" w:w="312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475569"/>
                <w:sz w:val="18"/>
                <w:szCs w:val="18"/>
              </w:rPr>
              <w:t xml:space="preserve">"This is a lot of new pages to create. Who writes the content?"</w:t>
            </w:r>
          </w:p>
        </w:tc>
        <w:tc>
          <w:tcPr>
            <w:tcW w:type="dxa" w:w="6240"/>
            <w:tcBorders>
              <w:top w:val="single" w:color="E2E8F0" w:sz="1"/>
              <w:left w:val="single" w:color="E2E8F0" w:sz="1"/>
              <w:bottom w:val="single" w:color="E2E8F0" w:sz="1"/>
              <w:right w:val="single" w:color="E2E8F0" w:sz="1"/>
            </w:tcBorders>
            <w:tcMar>
              <w:top w:type="dxa" w:w="80"/>
              <w:left w:type="dxa" w:w="120"/>
              <w:bottom w:type="dxa" w:w="80"/>
              <w:right w:type="dxa" w:w="120"/>
            </w:tcMar>
          </w:tcPr>
          <w:p>
            <w:pPr>
              <w:jc w:val="left"/>
            </w:pPr>
            <w:r>
              <w:rPr>
                <w:rFonts w:ascii="Arial" w:cs="Arial" w:eastAsia="Arial" w:hAnsi="Arial"/>
                <w:b w:val="false"/>
                <w:bCs w:val="false"/>
                <w:color w:val="1E293B"/>
                <w:sz w:val="18"/>
                <w:szCs w:val="18"/>
              </w:rPr>
              <w:t xml:space="preserve">"You produce the content, but not from scratch. We provide SEO specifications, page-type templates, and content briefs for every page — including target keywords, H1/title/meta requirements, content structure, and word count goals. You fill in your expertise."</w:t>
            </w:r>
          </w:p>
        </w:tc>
      </w:tr>
    </w:tbl>
    <w:p>
      <w:pPr>
        <w:pStyle w:val="Heading2"/>
        <w:spacing w:before="400"/>
      </w:pPr>
      <w:r>
        <w:t xml:space="preserve">Post-Meeting Actions</w:t>
      </w:r>
    </w:p>
    <w:p>
      <w:pPr>
        <w:pStyle w:val="ListParagraph"/>
        <w:numPr>
          <w:ilvl w:val="0"/>
          <w:numId w:val="2"/>
        </w:numPr>
        <w:spacing w:after="80"/>
      </w:pPr>
      <w:r>
        <w:rPr>
          <w:sz w:val="22"/>
          <w:szCs w:val="22"/>
        </w:rPr>
        <w:t xml:space="preserve">Send David the signed approval form (or e-signature link if signing remotely)</w:t>
      </w:r>
    </w:p>
    <w:p>
      <w:pPr>
        <w:pStyle w:val="ListParagraph"/>
        <w:numPr>
          <w:ilvl w:val="0"/>
          <w:numId w:val="2"/>
        </w:numPr>
        <w:spacing w:after="80"/>
      </w:pPr>
      <w:r>
        <w:rPr>
          <w:sz w:val="22"/>
          <w:szCs w:val="22"/>
        </w:rPr>
        <w:t xml:space="preserve">Document all decisions made on open strategic questions in writing and email to David for confirmation</w:t>
      </w:r>
    </w:p>
    <w:p>
      <w:pPr>
        <w:pStyle w:val="ListParagraph"/>
        <w:numPr>
          <w:ilvl w:val="0"/>
          <w:numId w:val="2"/>
        </w:numPr>
        <w:spacing w:after="80"/>
      </w:pPr>
      <w:r>
        <w:rPr>
          <w:sz w:val="22"/>
          <w:szCs w:val="22"/>
        </w:rPr>
        <w:t xml:space="preserve">Share final versions of Discovery Report, Validated Site Architecture, Content Migration Map, and Positioning Framework</w:t>
      </w:r>
    </w:p>
    <w:p>
      <w:pPr>
        <w:pStyle w:val="ListParagraph"/>
        <w:numPr>
          <w:ilvl w:val="0"/>
          <w:numId w:val="2"/>
        </w:numPr>
        <w:spacing w:after="80"/>
      </w:pPr>
      <w:r>
        <w:rPr>
          <w:sz w:val="22"/>
          <w:szCs w:val="22"/>
        </w:rPr>
        <w:t xml:space="preserve">Brief Irish on approved architecture and any changes to redirect plan based on domain decision</w:t>
      </w:r>
    </w:p>
    <w:p>
      <w:pPr>
        <w:pStyle w:val="ListParagraph"/>
        <w:numPr>
          <w:ilvl w:val="0"/>
          <w:numId w:val="2"/>
        </w:numPr>
        <w:spacing w:after="80"/>
      </w:pPr>
      <w:r>
        <w:rPr>
          <w:sz w:val="22"/>
          <w:szCs w:val="22"/>
        </w:rPr>
        <w:t xml:space="preserve">Begin UX prototyping sprint — homepage wireframe first</w:t>
      </w:r>
    </w:p>
    <w:p>
      <w:pPr>
        <w:pStyle w:val="ListParagraph"/>
        <w:numPr>
          <w:ilvl w:val="0"/>
          <w:numId w:val="2"/>
        </w:numPr>
        <w:spacing w:after="80"/>
      </w:pPr>
      <w:r>
        <w:rPr>
          <w:sz w:val="22"/>
          <w:szCs w:val="22"/>
        </w:rPr>
        <w:t xml:space="preserve">Schedule first prototype review meeting (1 week from approval date)</w:t>
      </w:r>
    </w:p>
    <w:p>
      <w:pPr>
        <w:pStyle w:val="ListParagraph"/>
        <w:numPr>
          <w:ilvl w:val="0"/>
          <w:numId w:val="2"/>
        </w:numPr>
        <w:spacing w:after="80"/>
      </w:pPr>
      <w:r>
        <w:rPr>
          <w:sz w:val="22"/>
          <w:szCs w:val="22"/>
        </w:rPr>
        <w:t xml:space="preserve">If any decisions were deferred: send follow-up email with specific deadline and impact of delay</w:t>
      </w:r>
    </w:p>
    <w:p>
      <w:pPr>
        <w:pBdr>
          <w:top w:val="single" w:color="E2E8F0" w:sz="2" w:space="8"/>
        </w:pBdr>
        <w:spacing w:after="200" w:before="400"/>
      </w:pPr>
      <w:r>
        <w:rPr>
          <w:color w:val="475569"/>
          <w:sz w:val="18"/>
          <w:szCs w:val="18"/>
        </w:rPr>
        <w:t xml:space="preserve">Confidential — BIT Studios × Incorporate123 — March 2026</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4" w:space="6"/>
      </w:pBdr>
      <w:tabs>
        <w:tab w:val="right" w:pos="9026"/>
      </w:tabs>
    </w:pPr>
    <w:r>
      <w:rPr>
        <w:rFonts w:ascii="Arial" w:cs="Arial" w:eastAsia="Arial" w:hAnsi="Arial"/>
        <w:b/>
        <w:bCs/>
        <w:color w:val="0891B2"/>
        <w:sz w:val="16"/>
        <w:szCs w:val="16"/>
      </w:rPr>
      <w:t xml:space="preserve">INCORPORATE123 STAKEHOLDER ALIGNMENT</w:t>
    </w:r>
    <w:r>
      <w:rPr>
        <w:rFonts w:ascii="Arial" w:cs="Arial" w:eastAsia="Arial" w:hAnsi="Arial"/>
        <w:color w:val="475569"/>
        <w:sz w:val="16"/>
        <w:szCs w:val="16"/>
      </w:rPr>
      <w:t xml:space="preserve">	BIT Studios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A2744"/>
      <w:sz w:val="36"/>
      <w:szCs w:val="36"/>
    </w:rPr>
  </w:style>
  <w:style w:type="paragraph" w:styleId="Heading2">
    <w:name w:val="Heading 2"/>
    <w:basedOn w:val="Normal"/>
    <w:next w:val="Normal"/>
    <w:qFormat/>
    <w:pPr>
      <w:spacing w:after="160" w:before="280"/>
      <w:outlineLvl w:val="1"/>
    </w:pPr>
    <w:rPr>
      <w:rFonts w:ascii="Georgia" w:cs="Georgia" w:eastAsia="Georgia" w:hAnsi="Georgia"/>
      <w:b/>
      <w:bCs/>
      <w:color w:val="1A2744"/>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0891B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2026-03-01T23:17:40.453Z</dcterms:created>
  <dcterms:modified xsi:type="dcterms:W3CDTF">2026-03-01T23:17:40.454Z</dcterms:modified>
</cp:coreProperties>
</file>

<file path=docProps/custom.xml><?xml version="1.0" encoding="utf-8"?>
<Properties xmlns="http://schemas.openxmlformats.org/officeDocument/2006/custom-properties" xmlns:vt="http://schemas.openxmlformats.org/officeDocument/2006/docPropsVTypes"/>
</file>