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pPr>
      <w:r>
        <w:rPr>
          <w:rFonts w:ascii="Arial" w:cs="Arial" w:eastAsia="Arial" w:hAnsi="Arial"/>
          <w:b/>
          <w:bCs/>
          <w:color w:val="1a1a2e"/>
          <w:sz w:val="36"/>
          <w:szCs w:val="36"/>
        </w:rPr>
        <w:t xml:space="preserve">Phase 1: Discovery &amp; Strategy</w:t>
      </w:r>
    </w:p>
    <w:p>
      <w:pPr>
        <w:spacing w:after="40"/>
      </w:pPr>
      <w:r>
        <w:rPr>
          <w:rFonts w:ascii="Arial" w:cs="Arial" w:eastAsia="Arial" w:hAnsi="Arial"/>
          <w:color w:val="2563eb"/>
          <w:sz w:val="26"/>
          <w:szCs w:val="26"/>
        </w:rPr>
        <w:t xml:space="preserve">Executive Summary</w:t>
      </w:r>
    </w:p>
    <w:p>
      <w:pPr>
        <w:spacing w:after="120"/>
      </w:pPr>
      <w:r>
        <w:rPr>
          <w:rFonts w:ascii="Arial" w:cs="Arial" w:eastAsia="Arial" w:hAnsi="Arial"/>
          <w:color w:val="64748b"/>
          <w:sz w:val="18"/>
          <w:szCs w:val="18"/>
        </w:rPr>
        <w:t xml:space="preserve">Incorporate123 Website Redesign  |  BIT Studios  |  March 2026</w:t>
      </w:r>
    </w:p>
    <w:p>
      <w:pPr>
        <w:pBdr>
          <w:bottom w:val="single" w:color="CCCCCC" w:sz="6"/>
        </w:pBdr>
        <w:spacing w:before="160" w:after="160"/>
      </w:pPr>
    </w:p>
    <w:p>
      <w:pPr>
        <w:pStyle w:val="Heading1"/>
        <w:spacing w:before="160" w:after="100"/>
      </w:pPr>
      <w:r>
        <w:rPr>
          <w:rFonts w:ascii="Arial" w:cs="Arial" w:eastAsia="Arial" w:hAnsi="Arial"/>
          <w:b/>
          <w:bCs/>
          <w:color w:val="1a1a2e"/>
          <w:sz w:val="26"/>
          <w:szCs w:val="26"/>
        </w:rPr>
        <w:t xml:space="preserve">The Situation</w:t>
      </w:r>
    </w:p>
    <w:p>
      <w:pPr>
        <w:spacing w:before="60" w:after="60" w:line="264"/>
      </w:pPr>
      <w:r>
        <w:rPr>
          <w:rFonts w:ascii="Arial" w:cs="Arial" w:eastAsia="Arial" w:hAnsi="Arial"/>
          <w:color w:val="1a1a2e"/>
          <w:sz w:val="20"/>
          <w:szCs w:val="20"/>
        </w:rPr>
        <w:t xml:space="preserve">Incorporate123’s current site organizes 392 URLs by geography (Nevada, then Wyoming), burying its strongest differentiators — privacy expertise, nominee services, and asset protection — across fragmented state pages. The site has zero H1 tags, 209 pages sharing one generic title, and a Learning Center accounting for 62% of all URLs. Despite these structural issues, the underlying content and 25 years of domain authority represent significant assets worth preserving.</w:t>
      </w:r>
    </w:p>
    <w:p>
      <w:pPr>
        <w:pStyle w:val="Heading1"/>
        <w:spacing w:before="200" w:after="100"/>
      </w:pPr>
      <w:r>
        <w:rPr>
          <w:rFonts w:ascii="Arial" w:cs="Arial" w:eastAsia="Arial" w:hAnsi="Arial"/>
          <w:b/>
          <w:bCs/>
          <w:color w:val="1a1a2e"/>
          <w:sz w:val="26"/>
          <w:szCs w:val="26"/>
        </w:rPr>
        <w:t xml:space="preserve">What We Did</w:t>
      </w:r>
    </w:p>
    <w:p>
      <w:pPr>
        <w:spacing w:before="60" w:after="60" w:line="264"/>
      </w:pPr>
      <w:r>
        <w:rPr>
          <w:rFonts w:ascii="Arial" w:cs="Arial" w:eastAsia="Arial" w:hAnsi="Arial"/>
          <w:color w:val="1a1a2e"/>
          <w:sz w:val="20"/>
          <w:szCs w:val="20"/>
        </w:rPr>
        <w:t xml:space="preserve">Over 36 hours across Weeks 1–2, we completed a full site audit (392 URLs crawled, 325 unique paths cataloged), mapped every page to a new 71-page architecture organized around four content pillars, analyzed five competitors, defined 11 user journeys from search entry through checkout, and compiled all findings into a single strategic reference.</w:t>
      </w:r>
    </w:p>
    <w:p>
      <w:pPr>
        <w:pStyle w:val="Heading1"/>
        <w:spacing w:before="200" w:after="100"/>
      </w:pPr>
      <w:r>
        <w:rPr>
          <w:rFonts w:ascii="Arial" w:cs="Arial" w:eastAsia="Arial" w:hAnsi="Arial"/>
          <w:b/>
          <w:bCs/>
          <w:color w:val="1a1a2e"/>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Area</w:t>
            </w:r>
          </w:p>
        </w:tc>
        <w:tc>
          <w:tcPr>
            <w:tcW w:type="dxa" w:w="65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Finding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Competitive Gap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No competitor combines modern UX, privacy-first architecture, transparent pricing, and nominee services. The upper-right quadrant — high privacy expertise + high digital quality — is empty.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SEO Opportunity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Across high-intent privacy and asset protection keywords, tracked competitors hold very few ranking positions. Top results are dominated by publishers and law firms that can’t convert. Full keyword research is scoped for Weeks 3–8.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Pricing Advantage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Incorporate123’s $525 annual renewal including nominees is unmatched. Anderson hides pricing behind phone calls. NCH charges ~$1,300 without nominees.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Content Scale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Site is 2.3x larger than estimated (392 vs. ~171 URLs). 188 FAQ items across 24 categories, 49 duplicate content groups, 33 new pages needed.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Technical Debt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Zero H1 tags site-wide. 209 pages share one title. 64 missing meta descriptions. 6 broken internal links.</w:t>
            </w:r>
          </w:p>
        </w:tc>
      </w:tr>
    </w:tbl>
    <w:p>
      <w:pPr>
        <w:pStyle w:val="Heading1"/>
        <w:spacing w:before="240" w:after="100"/>
      </w:pPr>
      <w:r>
        <w:rPr>
          <w:rFonts w:ascii="Arial" w:cs="Arial" w:eastAsia="Arial" w:hAnsi="Arial"/>
          <w:b/>
          <w:bCs/>
          <w:color w:val="1a1a2e"/>
          <w:sz w:val="26"/>
          <w:szCs w:val="26"/>
        </w:rPr>
        <w:t xml:space="preserve">The New Architecture</w:t>
      </w:r>
    </w:p>
    <w:p>
      <w:pPr>
        <w:spacing w:before="60" w:after="60" w:line="264"/>
      </w:pPr>
      <w:r>
        <w:rPr>
          <w:rFonts w:ascii="Arial" w:cs="Arial" w:eastAsia="Arial" w:hAnsi="Arial"/>
          <w:color w:val="1a1a2e"/>
          <w:sz w:val="20"/>
          <w:szCs w:val="20"/>
        </w:rPr>
        <w:t xml:space="preserve">392 URLs consolidated into </w:t>
      </w:r>
      <w:r>
        <w:rPr>
          <w:rFonts w:ascii="Arial" w:cs="Arial" w:eastAsia="Arial" w:hAnsi="Arial"/>
          <w:b/>
          <w:bCs/>
          <w:color w:val="1a1a2e"/>
          <w:sz w:val="20"/>
          <w:szCs w:val="20"/>
        </w:rPr>
        <w:t xml:space="preserve">71 focused pages</w:t>
      </w:r>
      <w:r>
        <w:rPr>
          <w:rFonts w:ascii="Arial" w:cs="Arial" w:eastAsia="Arial" w:hAnsi="Arial"/>
          <w:color w:val="1a1a2e"/>
          <w:sz w:val="20"/>
          <w:szCs w:val="20"/>
        </w:rPr>
        <w:t xml:space="preserve"> — a 78% reduction with zero content loss. Organized around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Pillar</w:t>
            </w:r>
          </w:p>
        </w:tc>
        <w:tc>
          <w:tcPr>
            <w:tcW w:type="dxa" w:w="35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Purpose</w:t>
            </w:r>
          </w:p>
        </w:tc>
        <w:tc>
          <w:tcPr>
            <w:tcW w:type="dxa" w:w="35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Key Pages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Business Privacy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Keeping ownership anonymous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Anonymous LLC Guide, Nominee Services, Best State for Privacy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Asset Protection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Protecting assets through structuring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Charging Order Protection, State-specific AP strategies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Company Formation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Straightforward formation guidance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LLC vs Corporation, State selection, Shelf companies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Compliance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Ongoing support for existing clients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Registered agent, Annual reports, Foreign registration</w:t>
            </w:r>
          </w:p>
        </w:tc>
      </w:tr>
    </w:tbl>
    <w:p>
      <w:pPr>
        <w:spacing w:before="40"/>
      </w:pPr>
    </w:p>
    <w:p>
      <w:pPr>
        <w:spacing w:before="60" w:after="60" w:line="264"/>
      </w:pPr>
      <w:r>
        <w:rPr>
          <w:rFonts w:ascii="Arial" w:cs="Arial" w:eastAsia="Arial" w:hAnsi="Arial"/>
          <w:color w:val="1a1a2e"/>
          <w:sz w:val="20"/>
          <w:szCs w:val="20"/>
        </w:rPr>
        <w:t xml:space="preserve">Three package tiers (Gold/Silver/Bronze) with Gold as the recommended option. All 20+ owned domains redirect to </w:t>
      </w:r>
      <w:r>
        <w:rPr>
          <w:rFonts w:ascii="Arial" w:cs="Arial" w:eastAsia="Arial" w:hAnsi="Arial"/>
          <w:b/>
          <w:bCs/>
          <w:color w:val="1a1a2e"/>
          <w:sz w:val="20"/>
          <w:szCs w:val="20"/>
        </w:rPr>
        <w:t xml:space="preserve">incorporate123.com</w:t>
      </w:r>
      <w:r>
        <w:rPr>
          <w:rFonts w:ascii="Arial" w:cs="Arial" w:eastAsia="Arial" w:hAnsi="Arial"/>
          <w:color w:val="1a1a2e"/>
          <w:sz w:val="20"/>
          <w:szCs w:val="20"/>
        </w:rPr>
        <w:t xml:space="preserve"> as the primary domain.</w:t>
      </w:r>
    </w:p>
    <w:p>
      <w:pPr>
        <w:pStyle w:val="Heading1"/>
        <w:spacing w:before="240" w:after="100"/>
      </w:pPr>
      <w:r>
        <w:rPr>
          <w:rFonts w:ascii="Arial" w:cs="Arial" w:eastAsia="Arial" w:hAnsi="Arial"/>
          <w:b/>
          <w:bCs/>
          <w:color w:val="1a1a2e"/>
          <w:sz w:val="26"/>
          <w:szCs w:val="26"/>
        </w:rPr>
        <w:t xml:space="preserve">Deliverables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Deliverable</w:t>
            </w:r>
          </w:p>
        </w:tc>
        <w:tc>
          <w:tcPr>
            <w:tcW w:type="dxa" w:w="67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What It Contains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Discovery Report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Full audit results, competitive landscape, migration strategy, risk assessment, design and content recommendations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Site Architecture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Complete 71-page site map with URLs, page types, pillar assignments, navigation hierarchy, and internal linking plan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Content Migration Map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All 326 URLs mapped to destinations (preserve/enhance/consolidate/retire), 33-page gap analysis, 14 cross-pillar references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Redirect Plan (Draft)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117 individual redirect rules + 4 pattern-based bulk rules, prioritized by inlink weight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1a1a2e"/>
                <w:sz w:val="18"/>
                <w:szCs w:val="18"/>
              </w:rPr>
              <w:t xml:space="preserve">Positioning Framework</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Strategic messaging, target audience definition, differentiation points for all content and design decisions</w:t>
            </w:r>
          </w:p>
        </w:tc>
      </w:tr>
    </w:tbl>
    <w:p>
      <w:pPr>
        <w:pStyle w:val="Heading1"/>
        <w:spacing w:before="240" w:after="100"/>
      </w:pPr>
      <w:r>
        <w:rPr>
          <w:rFonts w:ascii="Arial" w:cs="Arial" w:eastAsia="Arial" w:hAnsi="Arial"/>
          <w:b/>
          <w:bCs/>
          <w:color w:val="1a1a2e"/>
          <w:sz w:val="26"/>
          <w:szCs w:val="26"/>
        </w:rPr>
        <w:t xml:space="preserve">What This Unlocks</w:t>
      </w:r>
    </w:p>
    <w:p>
      <w:pPr>
        <w:spacing w:before="60" w:after="60" w:line="264"/>
      </w:pPr>
      <w:r>
        <w:rPr>
          <w:rFonts w:ascii="Arial" w:cs="Arial" w:eastAsia="Arial" w:hAnsi="Arial"/>
          <w:color w:val="1a1a2e"/>
          <w:sz w:val="20"/>
          <w:szCs w:val="20"/>
        </w:rPr>
        <w:t xml:space="preserve">Your approval of the site architecture opens three immediate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Workstream</w:t>
            </w:r>
          </w:p>
        </w:tc>
        <w:tc>
          <w:tcPr>
            <w:tcW w:type="dxa" w:w="28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center"/>
          </w:tcPr>
          <w:p>
            <w:r>
              <w:rPr>
                <w:rFonts w:ascii="Arial" w:cs="Arial" w:eastAsia="Arial" w:hAnsi="Arial"/>
                <w:b/>
                <w:bCs/>
                <w:color w:val="1a1a2e"/>
                <w:sz w:val="18"/>
                <w:szCs w:val="18"/>
              </w:rPr>
              <w:t xml:space="preserve">When</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UX &amp; Interactive Prototyping — clickable prototype on any device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Weeks 2–5</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Visual Design &amp; Design System — brand identity, typography, color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Weeks 2–5</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SEO Strategy &amp; Implementation — keyword targeting, schema markup</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a1a2e"/>
                <w:sz w:val="18"/>
                <w:szCs w:val="18"/>
              </w:rPr>
              <w:t xml:space="preserve">Weeks 3–8</w:t>
            </w:r>
          </w:p>
        </w:tc>
      </w:tr>
    </w:tbl>
    <w:p>
      <w:pPr>
        <w:spacing w:before="40"/>
      </w:pPr>
    </w:p>
    <w:p>
      <w:pPr>
        <w:spacing w:before="60" w:after="60" w:line="264"/>
      </w:pPr>
      <w:r>
        <w:rPr>
          <w:rFonts w:ascii="Arial" w:cs="Arial" w:eastAsia="Arial" w:hAnsi="Arial"/>
          <w:color w:val="1a1a2e"/>
          <w:sz w:val="20"/>
          <w:szCs w:val="20"/>
        </w:rPr>
        <w:t xml:space="preserve">As you approve each section’s design, development begins on that section immediately (Weeks 4–9). Testing and launch (Weeks 8–10) ramp up as development completes. This rolling model keeps the 10-week timeline achievable.</w:t>
      </w:r>
    </w:p>
    <w:p>
      <w:pPr>
        <w:pBdr>
          <w:bottom w:val="single" w:color="CCCCCC" w:sz="6"/>
        </w:pBdr>
        <w:spacing w:before="160" w:after="160"/>
      </w:pPr>
    </w:p>
    <w:p>
      <w:pPr>
        <w:pStyle w:val="Heading1"/>
        <w:spacing w:before="160" w:after="100"/>
      </w:pPr>
      <w:r>
        <w:rPr>
          <w:rFonts w:ascii="Arial" w:cs="Arial" w:eastAsia="Arial" w:hAnsi="Arial"/>
          <w:b/>
          <w:bCs/>
          <w:color w:val="1a1a2e"/>
          <w:sz w:val="26"/>
          <w:szCs w:val="26"/>
        </w:rPr>
        <w:t xml:space="preserve">Next Step</w:t>
      </w:r>
    </w:p>
    <w:p>
      <w:pPr>
        <w:spacing w:before="60" w:after="60" w:line="264"/>
      </w:pPr>
      <w:r>
        <w:rPr>
          <w:rFonts w:ascii="Arial" w:cs="Arial" w:eastAsia="Arial" w:hAnsi="Arial"/>
          <w:color w:val="1a1a2e"/>
          <w:sz w:val="20"/>
          <w:szCs w:val="20"/>
        </w:rPr>
        <w:t xml:space="preserve">To move forward, we need your </w:t>
      </w:r>
      <w:r>
        <w:rPr>
          <w:rFonts w:ascii="Arial" w:cs="Arial" w:eastAsia="Arial" w:hAnsi="Arial"/>
          <w:b/>
          <w:bCs/>
          <w:color w:val="1a1a2e"/>
          <w:sz w:val="20"/>
          <w:szCs w:val="20"/>
        </w:rPr>
        <w:t xml:space="preserve">review and approval of the site architecture</w:t>
      </w:r>
      <w:r>
        <w:rPr>
          <w:rFonts w:ascii="Arial" w:cs="Arial" w:eastAsia="Arial" w:hAnsi="Arial"/>
          <w:color w:val="1a1a2e"/>
          <w:sz w:val="20"/>
          <w:szCs w:val="20"/>
        </w:rPr>
        <w:t xml:space="preserve"> — the 71-page structure, four pillars, and URL strategy.</w:t>
      </w:r>
    </w:p>
    <w:p>
      <w:pPr>
        <w:spacing w:before="200"/>
      </w:pPr>
    </w:p>
    <w:p>
      <w:pPr>
        <w:pBdr>
          <w:bottom w:val="single" w:color="CCCCCC" w:sz="6"/>
        </w:pBdr>
        <w:spacing w:before="160" w:after="160"/>
      </w:pPr>
    </w:p>
    <w:p>
      <w:pPr>
        <w:spacing w:before="60" w:after="60" w:line="264"/>
      </w:pPr>
      <w:r>
        <w:rPr>
          <w:rFonts w:ascii="Arial" w:cs="Arial" w:eastAsia="Arial" w:hAnsi="Arial"/>
          <w:i/>
          <w:iCs/>
          <w:color w:val="64748b"/>
          <w:sz w:val="20"/>
          <w:szCs w:val="20"/>
        </w:rPr>
        <w:t xml:space="preserve">Questions? We’re happy to walk through any of these deliverables in detail.</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2026-03-06T20:43:36.768Z</dcterms:created>
  <dcterms:modified xsi:type="dcterms:W3CDTF">2026-03-06T20:43:36.768Z</dcterms:modified>
</cp:coreProperties>
</file>

<file path=docProps/custom.xml><?xml version="1.0" encoding="utf-8"?>
<Properties xmlns="http://schemas.openxmlformats.org/officeDocument/2006/custom-properties" xmlns:vt="http://schemas.openxmlformats.org/officeDocument/2006/docPropsVTypes"/>
</file>