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Outfit" w:cs="Outfit" w:eastAsia="Outfit" w:hAnsi="Outfit"/>
          <w:b/>
          <w:bCs/>
          <w:color w:val="1E3A5F"/>
          <w:sz w:val="44"/>
          <w:szCs w:val="44"/>
        </w:rPr>
        <w:t xml:space="preserve">INCORPORATE123</w:t>
      </w:r>
    </w:p>
    <w:p>
      <w:pPr>
        <w:spacing w:after="80"/>
        <w:jc w:val="center"/>
      </w:pPr>
      <w:r>
        <w:rPr>
          <w:rFonts w:ascii="Outfit" w:cs="Outfit" w:eastAsia="Outfit" w:hAnsi="Outfit"/>
          <w:color w:val="666666"/>
          <w:sz w:val="28"/>
          <w:szCs w:val="28"/>
        </w:rPr>
        <w:t xml:space="preserve">Website Redesign Project</w:t>
      </w:r>
    </w:p>
    <w:p>
      <w:pPr>
        <w:spacing w:after="80"/>
      </w:pPr>
    </w:p>
    <w:p>
      <w:pPr>
        <w:spacing w:after="80"/>
        <w:jc w:val="center"/>
      </w:pPr>
      <w:r>
        <w:rPr>
          <w:rFonts w:ascii="Outfit" w:cs="Outfit" w:eastAsia="Outfit" w:hAnsi="Outfit"/>
          <w:b/>
          <w:bCs/>
          <w:color w:val="2563EB"/>
          <w:sz w:val="36"/>
          <w:szCs w:val="36"/>
        </w:rPr>
        <w:t xml:space="preserve">PHASE 1: DISCOVERY REPORT</w:t>
      </w:r>
    </w:p>
    <w:p>
      <w:pPr>
        <w:spacing w:after="80"/>
        <w:jc w:val="center"/>
      </w:pPr>
      <w:r>
        <w:rPr>
          <w:rFonts w:ascii="Inter" w:cs="Inter" w:eastAsia="Inter" w:hAnsi="Inter"/>
          <w:color w:val="666666"/>
          <w:sz w:val="22"/>
          <w:szCs w:val="22"/>
        </w:rPr>
        <w:t xml:space="preserve">Comprehensive Findings, Strategic Recommendations &amp;</w:t>
      </w:r>
    </w:p>
    <w:p>
      <w:pPr>
        <w:spacing w:after="200"/>
        <w:jc w:val="center"/>
      </w:pPr>
      <w:r>
        <w:rPr>
          <w:rFonts w:ascii="Inter" w:cs="Inter" w:eastAsia="Inter" w:hAnsi="Inter"/>
          <w:color w:val="666666"/>
          <w:sz w:val="22"/>
          <w:szCs w:val="22"/>
        </w:rPr>
        <w:t xml:space="preserve">Validated Site Architecture</w:t>
      </w:r>
    </w:p>
    <w:p>
      <w:pPr>
        <w:spacing w:after="80"/>
      </w:pPr>
    </w:p>
    <w:p>
      <w:pPr>
        <w:spacing w:after="80"/>
      </w:pPr>
    </w:p>
    <w:p>
      <w:pPr>
        <w:jc w:val="center"/>
      </w:pPr>
      <w:r>
        <w:rPr>
          <w:rFonts w:ascii="Inter" w:cs="Inter" w:eastAsia="Inter" w:hAnsi="Inter"/>
          <w:color w:val="666666"/>
          <w:sz w:val="22"/>
          <w:szCs w:val="22"/>
        </w:rPr>
        <w:t xml:space="preserve">Prepared for: David, Incorporate123</w:t>
      </w:r>
    </w:p>
    <w:p>
      <w:pPr>
        <w:jc w:val="center"/>
      </w:pPr>
      <w:r>
        <w:rPr>
          <w:rFonts w:ascii="Inter" w:cs="Inter" w:eastAsia="Inter" w:hAnsi="Inter"/>
          <w:color w:val="666666"/>
          <w:sz w:val="22"/>
          <w:szCs w:val="22"/>
        </w:rPr>
        <w:t xml:space="preserve">Prepared by: BIT Studios</w:t>
      </w:r>
    </w:p>
    <w:p>
      <w:pPr>
        <w:jc w:val="center"/>
      </w:pPr>
      <w:r>
        <w:rPr>
          <w:rFonts w:ascii="Inter" w:cs="Inter" w:eastAsia="Inter" w:hAnsi="Inter"/>
          <w:color w:val="666666"/>
          <w:sz w:val="22"/>
          <w:szCs w:val="22"/>
        </w:rPr>
        <w:t xml:space="preserve">March 2026</w:t>
      </w:r>
    </w:p>
    <w:p>
      <w:pPr>
        <w:spacing w:before="200"/>
        <w:jc w:val="center"/>
      </w:pPr>
      <w:r>
        <w:rPr>
          <w:rFonts w:ascii="Inter" w:cs="Inter" w:eastAsia="Inter" w:hAnsi="Inter"/>
          <w:b/>
          <w:bCs/>
          <w:color w:val="1E3A5F"/>
          <w:sz w:val="20"/>
          <w:szCs w:val="20"/>
        </w:rPr>
        <w:t xml:space="preserve">CONFIDENTIAL</w:t>
      </w:r>
    </w:p>
    <w:p>
      <w:r>
        <w:br w:type="page"/>
      </w:r>
    </w:p>
    <w:p>
      <w:pPr>
        <w:pStyle w:val="Heading1"/>
      </w:pPr>
      <w:r>
        <w:t xml:space="preserve">Executive Summary</w:t>
      </w:r>
    </w:p>
    <w:p>
      <w:pPr>
        <w:spacing w:after="120"/>
      </w:pPr>
      <w:r>
        <w:rPr>
          <w:rFonts w:ascii="Inter" w:cs="Inter" w:eastAsia="Inter" w:hAnsi="Inter"/>
          <w:sz w:val="22"/>
          <w:szCs w:val="22"/>
        </w:rPr>
        <w:t xml:space="preserve">This Discovery Report synthesizes the complete findings from Phase 1 of the Incorporate123 website redesign project. Over the course of the discovery phase, BIT Studios conducted a comprehensive site audit of 392 URLs, mapped 326 content pages to a new 71-page architecture, analyzed five direct competitors across site structure and conversion funnels, and mapped primary user journeys for privacy, asset protection, and formation intents.</w:t>
      </w:r>
    </w:p>
    <w:p>
      <w:pPr>
        <w:spacing w:after="120"/>
      </w:pPr>
      <w:r>
        <w:rPr>
          <w:rFonts w:ascii="Inter" w:cs="Inter" w:eastAsia="Inter" w:hAnsi="Inter"/>
          <w:sz w:val="22"/>
          <w:szCs w:val="22"/>
        </w:rPr>
        <w:t xml:space="preserve">The findings confirm the strategic hypothesis established during kickoff: Incorporate123’s 25 years of specialized expertise in privacy-focused business formation, nominee services, and asset protection is severely undermined by a geography-first site architecture, outdated visual design, and fragmented content organization. The current site forces visitors to choose a state before understanding available services, buries critical differentiators like year-round nominee services within package pages, and provides zero H1 tags across all 319 live pages.</w:t>
      </w:r>
    </w:p>
    <w:p>
      <w:pPr>
        <w:spacing w:after="120"/>
      </w:pPr>
      <w:r>
        <w:rPr>
          <w:rFonts w:ascii="Inter" w:cs="Inter" w:eastAsia="Inter" w:hAnsi="Inter"/>
          <w:sz w:val="22"/>
          <w:szCs w:val="22"/>
        </w:rPr>
        <w:t xml:space="preserve">The competitive analysis reveals a significant market opportunity. No competitor in the privacy incorporation space combines modern UX, privacy-first content architecture, transparent pricing, and comprehensive nominee services. Budget providers like ZenBusiness and Bizee dominate generic formation keywords but offer no privacy features. Premium specialists like Anderson Advisors gate all pricing behind consultation calls. Wyoming Corporate Services offers the closest competitive profile but lacks a blog, content clusters, or systematic content strategy. This gap represents a genuine first-mover advantage for Incorporate123.</w:t>
      </w:r>
    </w:p>
    <w:p>
      <w:pPr>
        <w:spacing w:after="120"/>
      </w:pPr>
      <w:r>
        <w:rPr>
          <w:rFonts w:ascii="Inter" w:cs="Inter" w:eastAsia="Inter" w:hAnsi="Inter"/>
          <w:sz w:val="22"/>
          <w:szCs w:val="22"/>
        </w:rPr>
        <w:t xml:space="preserve">All findings, recommendations, and the validated site architecture presented in this report serve as the binding reference for all subsequent project phases. No design, development, or content work begins until this architecture is confirmed and approved.</w:t>
      </w:r>
    </w:p>
    <w:p>
      <w:pPr>
        <w:spacing w:after="80"/>
      </w:pPr>
    </w:p>
    <w:p>
      <w:pPr>
        <w:pStyle w:val="Heading2"/>
      </w:pPr>
      <w:r>
        <w:t xml:space="preserve">Key Discovery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Metric</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Finding</w:t>
            </w:r>
          </w:p>
        </w:tc>
        <w:tc>
          <w:tcPr>
            <w:tcW w:type="dxa" w:w="47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Implication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Total URLs Crawled</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392</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Site is 2.3x larger than initial 171-URL estimate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Unique URL Paths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325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67 trailing-slash duplicates identified</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Live Pages (HTTP 200)</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319</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 broken internal links requiring fixes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Duplicate Content Groups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49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Significant consolidation opportunity</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Learning Center URLs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242</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62% of all URLs are FAQ/LC content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Pages with H1 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0 of 319</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Critical structural failure across entire site</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Missing Meta Descriptions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64 pages (20%)</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Immediate improvement opportunity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Duplicate Title Tags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224 pages (73%)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209 share one generic LC title</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New Architecture Target</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71 pages</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78% URL reduction with zero content loss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301 Redirects Required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~326</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Every current URL mapped to new destination</w:t>
            </w:r>
          </w:p>
        </w:tc>
      </w:tr>
      <w:tr>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Competitors Analyzed</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5</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NCH, Anderson, ShieldCorp, WY Corp, ZenBusiness</w:t>
            </w:r>
          </w:p>
        </w:tc>
      </w:tr>
    </w:tbl>
    <w:p>
      <w:r>
        <w:br w:type="page"/>
      </w:r>
    </w:p>
    <w:p>
      <w:pPr>
        <w:pStyle w:val="Heading1"/>
      </w:pPr>
      <w:r>
        <w:t xml:space="preserve">Current State Assessment</w:t>
      </w:r>
    </w:p>
    <w:p>
      <w:pPr>
        <w:spacing w:after="120"/>
      </w:pPr>
      <w:r>
        <w:rPr>
          <w:rFonts w:ascii="Inter" w:cs="Inter" w:eastAsia="Inter" w:hAnsi="Inter"/>
          <w:sz w:val="22"/>
          <w:szCs w:val="22"/>
        </w:rPr>
        <w:t xml:space="preserve">The site audit revealed a website substantially larger and more complex than initially scoped. Where the project estimated approximately 171 URLs, the crawl discovered 392 total URLs across 23 distinct template types. After removing 67 trailing-slash duplicates, 325 unique URL paths remain, of which 319 return HTTP 200 status codes and 6 return 404 errors.</w:t>
      </w:r>
    </w:p>
    <w:p>
      <w:pPr>
        <w:pStyle w:val="Heading2"/>
      </w:pPr>
      <w:r>
        <w:t xml:space="preserve">Site Architecture Findings</w:t>
      </w:r>
    </w:p>
    <w:p>
      <w:pPr>
        <w:spacing w:after="120"/>
      </w:pPr>
      <w:r>
        <w:rPr>
          <w:rFonts w:ascii="Inter" w:cs="Inter" w:eastAsia="Inter" w:hAnsi="Inter"/>
          <w:sz w:val="22"/>
          <w:szCs w:val="22"/>
        </w:rPr>
        <w:t xml:space="preserve">The current site organizes content primarily by geography, with Nevada and Wyoming forming the top-level navigation structure. This geography-first approach creates three fundamental problems for the business.</w:t>
      </w:r>
    </w:p>
    <w:p>
      <w:pPr>
        <w:spacing w:after="120"/>
      </w:pPr>
      <w:r>
        <w:rPr>
          <w:rFonts w:ascii="Inter" w:cs="Inter" w:eastAsia="Inter" w:hAnsi="Inter"/>
          <w:sz w:val="22"/>
          <w:szCs w:val="22"/>
        </w:rPr>
        <w:t xml:space="preserve">First, it misaligns with search behavior. Prospective clients search for solutions to problems — “anonymous LLC,” “asset protection,” “nominee services” — not for states. The current navigation forces visitors to select a state before discovering whether Incorporate123 even offers the service they need.</w:t>
      </w:r>
    </w:p>
    <w:p>
      <w:pPr>
        <w:spacing w:after="120"/>
      </w:pPr>
      <w:r>
        <w:rPr>
          <w:rFonts w:ascii="Inter" w:cs="Inter" w:eastAsia="Inter" w:hAnsi="Inter"/>
          <w:sz w:val="22"/>
          <w:szCs w:val="22"/>
        </w:rPr>
        <w:t xml:space="preserve">Second, it fragments expertise. Privacy and asset protection content — the company’s primary differentiators — is scattered across state-specific pages rather than organized as cohesive service offerings. A visitor researching nominee services must navigate to multiple state pages to find relevant information.</w:t>
      </w:r>
    </w:p>
    <w:p>
      <w:pPr>
        <w:spacing w:after="120"/>
      </w:pPr>
      <w:r>
        <w:rPr>
          <w:rFonts w:ascii="Inter" w:cs="Inter" w:eastAsia="Inter" w:hAnsi="Inter"/>
          <w:sz w:val="22"/>
          <w:szCs w:val="22"/>
        </w:rPr>
        <w:t xml:space="preserve">Third, it creates content redundancy. Similar information about privacy, nominees, and asset protection is repeated across Nevada and Wyoming pages, diluting authority and creating maintenance overhead.</w:t>
      </w:r>
    </w:p>
    <w:p>
      <w:pPr>
        <w:pStyle w:val="Heading2"/>
      </w:pPr>
      <w:r>
        <w:t xml:space="preserve">Content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1000"/>
        <w:gridCol w:w="4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Template Type</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Count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 of Site</w:t>
            </w:r>
          </w:p>
        </w:tc>
        <w:tc>
          <w:tcPr>
            <w:tcW w:type="dxa" w:w="4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Migration Strategy</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Learning Center FAQ Items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188</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57.8%</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Consolidate into contextual FAQ sections on pillar/cluster pages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Service Detail/Add-on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9.5%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Map to package features and add-on services</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LC Category Landing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24</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7.4%</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Replace with pillar/cluster hierarchy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LC Reference/Legal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Integrate into relevant cluster page content</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Package/Order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15</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4.6%</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Restructure as 8 conversion endpoints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Core Service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3.7%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Reorganize under four content pillars</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SB60 Legacy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10</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3.1%</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Retire with redirects to updated content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Utility Pages (About, Contact)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Preserve and enhance</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All Other Templates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18</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5.5%</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Consolidate or retire</w:t>
            </w:r>
          </w:p>
        </w:tc>
      </w:tr>
    </w:tbl>
    <w:p>
      <w:pPr>
        <w:spacing w:after="80"/>
      </w:pPr>
    </w:p>
    <w:p>
      <w:pPr>
        <w:pStyle w:val="Heading2"/>
      </w:pPr>
      <w:r>
        <w:t xml:space="preserve">Metadata Assessment</w:t>
      </w:r>
    </w:p>
    <w:p>
      <w:pPr>
        <w:spacing w:after="120"/>
      </w:pPr>
      <w:r>
        <w:rPr>
          <w:rFonts w:ascii="Inter" w:cs="Inter" w:eastAsia="Inter" w:hAnsi="Inter"/>
          <w:sz w:val="22"/>
          <w:szCs w:val="22"/>
        </w:rPr>
        <w:t xml:space="preserve">Title tag coverage is 95.6% (305 of 319 pages), but quality is poor: 74.8% of titles exceed the recommended 60-character limit, and 224 pages share duplicate titles. Of these, 209 pages use a single generic Learning Center title, meaning search engines cannot distinguish between the majority of the site’s content. Meta description coverage is 79.9%, with 64 pages missing descriptions entirely. The site still populates legacy meta keywords tags on 78.7% of pages, which have no value and should be removed.</w:t>
      </w:r>
    </w:p>
    <w:p>
      <w:pPr>
        <w:spacing w:after="80"/>
      </w:pPr>
    </w:p>
    <w:p>
      <w:pPr>
        <w:pBdr>
          <w:left w:val="single" w:color="2563EB" w:sz="12" w:space="8"/>
        </w:pBdr>
        <w:spacing w:after="120"/>
        <w:ind w:left="200"/>
      </w:pPr>
      <w:r>
        <w:rPr>
          <w:rFonts w:ascii="Outfit" w:cs="Outfit" w:eastAsia="Outfit" w:hAnsi="Outfit"/>
          <w:b/>
          <w:bCs/>
          <w:color w:val="1E3A5F"/>
          <w:sz w:val="24"/>
          <w:szCs w:val="24"/>
        </w:rPr>
        <w:t xml:space="preserve">Critical Finding: Zero H1 Tags</w:t>
      </w:r>
    </w:p>
    <w:p>
      <w:pPr>
        <w:pBdr>
          <w:left w:val="single" w:color="2563EB" w:sz="12" w:space="8"/>
        </w:pBdr>
        <w:spacing w:after="200"/>
        <w:ind w:left="200"/>
      </w:pPr>
      <w:r>
        <w:rPr>
          <w:rFonts w:ascii="Inter" w:cs="Inter" w:eastAsia="Inter" w:hAnsi="Inter"/>
          <w:sz w:val="22"/>
          <w:szCs w:val="22"/>
        </w:rPr>
        <w:t xml:space="preserve">Not a single page across the entire 319-page site contains an H1 tag. This is the most significant on-page structural failure identified in the audit. H1 tags provide clear topical signals — their complete absence means the site lacks basic content hierarchy on every page.</w:t>
      </w:r>
    </w:p>
    <w:p>
      <w:pPr>
        <w:pStyle w:val="Heading2"/>
      </w:pPr>
      <w:r>
        <w:t xml:space="preserve">Performance and Technical Health</w:t>
      </w:r>
    </w:p>
    <w:p>
      <w:pPr>
        <w:spacing w:after="120"/>
      </w:pPr>
      <w:r>
        <w:rPr>
          <w:rFonts w:ascii="Inter" w:cs="Inter" w:eastAsia="Inter" w:hAnsi="Inter"/>
          <w:sz w:val="22"/>
          <w:szCs w:val="22"/>
        </w:rPr>
        <w:t xml:space="preserve">Average page response time is 0.823 seconds with 54 pages exceeding 1 second (maximum: 3.588 seconds). Average page size is 23.8 KB, which is well below modern thresholds. Crawl depth distribution is healthy: 66.1% of pages sit at depth 2 and 24.8% at depth 3, indicating reasonable internal linking from the homepage and main navigation. However, the Learning Center acts as a content silo with 1,450 inlinks pointing to the main LC landing page while individual FAQ items average fewer than 15 inlinks each.</w:t>
      </w:r>
    </w:p>
    <w:p>
      <w:pPr>
        <w:spacing w:after="120"/>
      </w:pPr>
      <w:r>
        <w:rPr>
          <w:rFonts w:ascii="Inter" w:cs="Inter" w:eastAsia="Inter" w:hAnsi="Inter"/>
          <w:sz w:val="22"/>
          <w:szCs w:val="22"/>
        </w:rPr>
        <w:t xml:space="preserve">Six internal links return 404 errors, including high-traffic paths to executive suite services and registered agent packages. These represent immediate fixes that should be implemented prior to migration.</w:t>
      </w:r>
    </w:p>
    <w:p>
      <w:r>
        <w:br w:type="page"/>
      </w:r>
    </w:p>
    <w:p>
      <w:pPr>
        <w:pStyle w:val="Heading1"/>
      </w:pPr>
      <w:r>
        <w:t xml:space="preserve">Competitive Landscape Analysis</w:t>
      </w:r>
    </w:p>
    <w:p>
      <w:pPr>
        <w:spacing w:after="120"/>
      </w:pPr>
      <w:r>
        <w:rPr>
          <w:rFonts w:ascii="Inter" w:cs="Inter" w:eastAsia="Inter" w:hAnsi="Inter"/>
          <w:sz w:val="22"/>
          <w:szCs w:val="22"/>
        </w:rPr>
        <w:t xml:space="preserve">BIT Studios analyzed five competitors across three dimensions: site structure and content architecture, positioning and market approach, and pricing, conversion funnels, and trust signals. The analysis confirms a significant market gap that the redesigned Incorporate123 can exploit.</w:t>
      </w:r>
    </w:p>
    <w:p>
      <w:pPr>
        <w:pStyle w:val="Heading2"/>
      </w:pPr>
      <w:r>
        <w:t xml:space="preserve">Market Structure</w:t>
      </w:r>
    </w:p>
    <w:p>
      <w:pPr>
        <w:spacing w:after="120"/>
      </w:pPr>
      <w:r>
        <w:rPr>
          <w:rFonts w:ascii="Inter" w:cs="Inter" w:eastAsia="Inter" w:hAnsi="Inter"/>
          <w:sz w:val="22"/>
          <w:szCs w:val="22"/>
        </w:rPr>
        <w:t xml:space="preserve">The incorporation services market has split into two distinct tiers. Budget providers (ZenBusiness, LegalZoom, Bizee) offer $0 formation plus state fees across all 50 states, backed by massive advertising budgets, 25,000+ reviews, and fully automated self-service platforms. Privacy specialists (Incorporate123, Wyoming Corporate Services, Anderson Advisors) offer $900–$3,200+ packages with nominee services, asset protection, and consultant-guided service in specialized states.</w:t>
      </w:r>
    </w:p>
    <w:p>
      <w:pPr>
        <w:spacing w:after="80"/>
      </w:pPr>
    </w:p>
    <w:p>
      <w:pPr>
        <w:pBdr>
          <w:left w:val="single" w:color="2563EB" w:sz="12" w:space="8"/>
        </w:pBdr>
        <w:spacing w:after="120"/>
        <w:ind w:left="200"/>
      </w:pPr>
      <w:r>
        <w:rPr>
          <w:rFonts w:ascii="Outfit" w:cs="Outfit" w:eastAsia="Outfit" w:hAnsi="Outfit"/>
          <w:b/>
          <w:bCs/>
          <w:color w:val="1E3A5F"/>
          <w:sz w:val="24"/>
          <w:szCs w:val="24"/>
        </w:rPr>
        <w:t xml:space="preserve">The Strategic Gap</w:t>
      </w:r>
    </w:p>
    <w:p>
      <w:pPr>
        <w:pBdr>
          <w:left w:val="single" w:color="2563EB" w:sz="12" w:space="8"/>
        </w:pBdr>
        <w:spacing w:after="200"/>
        <w:ind w:left="200"/>
      </w:pPr>
      <w:r>
        <w:rPr>
          <w:rFonts w:ascii="Inter" w:cs="Inter" w:eastAsia="Inter" w:hAnsi="Inter"/>
          <w:sz w:val="22"/>
          <w:szCs w:val="22"/>
        </w:rPr>
        <w:t xml:space="preserve">No single competitor combines all four elements: (1) modern UX and design, (2) privacy-first content architecture, (3) transparent self-service pricing, and (4) comprehensive nominee and offshore services. This is Incorporate123’s positioning opportunity.</w:t>
      </w:r>
    </w:p>
    <w:p>
      <w:pPr>
        <w:pStyle w:val="Heading2"/>
      </w:pPr>
      <w:r>
        <w:t xml:space="preserve">Competitor Positioning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Dimension</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NCH Inc</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Anderson Advisors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WY Corp Svcs</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ShieldCorp</w:t>
            </w:r>
          </w:p>
        </w:tc>
        <w:tc>
          <w:tcPr>
            <w:tcW w:type="dxa" w:w="1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ZenBusiness</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Nominee Services</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Yes (add-on)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$400/yr add-on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$300/yr</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Offshore Formation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Pricing Visibility</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Hidden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Zero — consult only</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Transparent</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Transparent</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Transparent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Base Price (LLC)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~$1,300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~$2,750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$515–$1,140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$49 + fees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$0 + fees</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Trust Reviews</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12,263 (5.0★)</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583 (4.0★)</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1,271 (5.0★)</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25,821 (4.8★)</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Privacy Architecture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w:t>
            </w:r>
          </w:p>
        </w:tc>
      </w:tr>
      <w:tr>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Design Quality</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Modern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Modern</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Dated (2010s)</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Dated (2016)</w:t>
            </w:r>
          </w:p>
        </w:tc>
        <w:tc>
          <w:tcPr>
            <w:tcW w:type="dxa" w:w="1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Best-in-class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Blog/Content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~560 posts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645 posts + pods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11 posts (2017)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500+ posts</w:t>
            </w:r>
          </w:p>
        </w:tc>
      </w:tr>
    </w:tbl>
    <w:p>
      <w:pPr>
        <w:spacing w:after="80"/>
      </w:pPr>
    </w:p>
    <w:p>
      <w:pPr>
        <w:pStyle w:val="Heading2"/>
      </w:pPr>
      <w:r>
        <w:t xml:space="preserve">Key Competitive Insights</w:t>
      </w:r>
    </w:p>
    <w:p>
      <w:pPr>
        <w:spacing w:after="120"/>
      </w:pPr>
      <w:r>
        <w:rPr>
          <w:rFonts w:ascii="Inter" w:cs="Inter" w:eastAsia="Inter" w:hAnsi="Inter"/>
          <w:b/>
          <w:bCs/>
          <w:sz w:val="22"/>
          <w:szCs w:val="22"/>
        </w:rPr>
        <w:t xml:space="preserve">Content Architecture Vacuum</w:t>
      </w:r>
    </w:p>
    <w:p>
      <w:pPr>
        <w:spacing w:after="120"/>
      </w:pPr>
      <w:r>
        <w:rPr>
          <w:rFonts w:ascii="Inter" w:cs="Inter" w:eastAsia="Inter" w:hAnsi="Inter"/>
          <w:sz w:val="22"/>
          <w:szCs w:val="22"/>
        </w:rPr>
        <w:t xml:space="preserve">Only ZenBusiness implements a recognizable pillar/cluster content model, but exclusively for generic formation content — not privacy or asset protection. No competitor organizes content around privacy and asset protection as primary pillars. NCH buries asset protection under a sub-path. Anderson segments by audience rather than intent. Wyoming Corporate Services has a privacy page (note the slug: /privacy-2-2/) but no supporting content cluster. This architectural gap is exactly where Incorporate123’s proposed four-pillar model would be genuinely differentiated.</w:t>
      </w:r>
    </w:p>
    <w:p>
      <w:pPr>
        <w:spacing w:after="120"/>
      </w:pPr>
      <w:r>
        <w:rPr>
          <w:rFonts w:ascii="Inter" w:cs="Inter" w:eastAsia="Inter" w:hAnsi="Inter"/>
          <w:b/>
          <w:bCs/>
          <w:sz w:val="22"/>
          <w:szCs w:val="22"/>
        </w:rPr>
        <w:t xml:space="preserve">Trust Signal Gap Is Incorporate123’s Biggest Risk</w:t>
      </w:r>
    </w:p>
    <w:p>
      <w:pPr>
        <w:spacing w:after="120"/>
      </w:pPr>
      <w:r>
        <w:rPr>
          <w:rFonts w:ascii="Inter" w:cs="Inter" w:eastAsia="Inter" w:hAnsi="Inter"/>
          <w:sz w:val="22"/>
          <w:szCs w:val="22"/>
        </w:rPr>
        <w:t xml:space="preserve">Incorporate123 has zero reviews on any public platform. Wyoming Corporate Services has accumulated 1,271 verified five-star Trustpilot reviews. NCH has 12,263. ZenBusiness has 25,821. This review gap is the single most significant credibility challenge for the redesign to address through alternative trust signals: 25-year track record, real Reno office, founder visibility, and a structured review collection program.</w:t>
      </w:r>
    </w:p>
    <w:p>
      <w:pPr>
        <w:spacing w:after="120"/>
      </w:pPr>
      <w:r>
        <w:rPr>
          <w:rFonts w:ascii="Inter" w:cs="Inter" w:eastAsia="Inter" w:hAnsi="Inter"/>
          <w:b/>
          <w:bCs/>
          <w:sz w:val="22"/>
          <w:szCs w:val="22"/>
        </w:rPr>
        <w:t xml:space="preserve">Privacy and Asset Protection Represent an Open Competitive Space</w:t>
      </w:r>
    </w:p>
    <w:p>
      <w:pPr>
        <w:spacing w:after="120"/>
      </w:pPr>
      <w:r>
        <w:rPr>
          <w:rFonts w:ascii="Inter" w:cs="Inter" w:eastAsia="Inter" w:hAnsi="Inter"/>
          <w:sz w:val="22"/>
          <w:szCs w:val="22"/>
        </w:rPr>
        <w:t xml:space="preserve">Across the privacy and asset protection search queries most relevant to the business, the five analyzed competitors hold very few ranking positions. The top results are dominated by legal publishers, law firms, and informational sites that educate but cannot convert searchers into formation clients. This means Incorporate123 is not competing against entrenched formation companies for these queries — it’s competing against content that cannot close a sale. Full analysis will be conducted in the SEO Strategy workstream (Phase 3).</w:t>
      </w:r>
    </w:p>
    <w:p>
      <w:r>
        <w:br w:type="page"/>
      </w:r>
    </w:p>
    <w:p>
      <w:pPr>
        <w:pStyle w:val="Heading1"/>
      </w:pPr>
      <w:r>
        <w:t xml:space="preserve">Content Migration Analysis</w:t>
      </w:r>
    </w:p>
    <w:p>
      <w:pPr>
        <w:spacing w:after="120"/>
      </w:pPr>
      <w:r>
        <w:rPr>
          <w:rFonts w:ascii="Inter" w:cs="Inter" w:eastAsia="Inter" w:hAnsi="Inter"/>
          <w:sz w:val="22"/>
          <w:szCs w:val="22"/>
        </w:rPr>
        <w:t xml:space="preserve">The content migration map is the operational backbone of the redesign. It defines exactly where every piece of existing content lands in the new architecture, ensuring zero content loss while dramatically improving discoverability.</w:t>
      </w:r>
    </w:p>
    <w:p>
      <w:pPr>
        <w:pStyle w:val="Heading2"/>
      </w:pPr>
      <w:r>
        <w:t xml:space="preserve">Migration Disposition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Disposition</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URL Count</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 of Total</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Preserve</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14</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4.3%</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Content migrates with minimal changes to new 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Enhance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Content expands significantly for new architecture</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Consolidate</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276</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84.7%</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Content merges into parent pages or inline FAQ sections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Retire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5.8%</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Outdated or duplicate; 301 redirect to closest equivalent</w:t>
            </w:r>
          </w:p>
        </w:tc>
      </w:tr>
    </w:tbl>
    <w:p>
      <w:pPr>
        <w:spacing w:after="80"/>
      </w:pPr>
    </w:p>
    <w:p>
      <w:pPr>
        <w:spacing w:after="120"/>
      </w:pPr>
      <w:r>
        <w:rPr>
          <w:rFonts w:ascii="Inter" w:cs="Inter" w:eastAsia="Inter" w:hAnsi="Inter"/>
          <w:sz w:val="22"/>
          <w:szCs w:val="22"/>
        </w:rPr>
        <w:t xml:space="preserve">The consolidation of 276 URLs into the new 71-page architecture is the migration’s defining feature. The vast majority of these — 244 Learning Center URLs alone — represent FAQ content that currently exists as standalone pages with minimal discoverability. In the new architecture, this content becomes contextual FAQ sections embedded within the pillar and cluster pages where visitors are most likely to need it.</w:t>
      </w:r>
    </w:p>
    <w:p>
      <w:pPr>
        <w:pStyle w:val="Heading2"/>
      </w:pPr>
      <w:r>
        <w:t xml:space="preserve">Learning Center Consolidation</w:t>
      </w:r>
    </w:p>
    <w:p>
      <w:pPr>
        <w:spacing w:after="120"/>
      </w:pPr>
      <w:r>
        <w:rPr>
          <w:rFonts w:ascii="Inter" w:cs="Inter" w:eastAsia="Inter" w:hAnsi="Inter"/>
          <w:sz w:val="22"/>
          <w:szCs w:val="22"/>
        </w:rPr>
        <w:t xml:space="preserve">The Learning Center represents 242 of the site’s 325 unique URLs (74.5%). It contains 24 category landing pages, 188 individual FAQ items, 10 legacy SB60 (Senate Bill 60) pages from 2013, and 20 additional reference and legal citation pages. These 242 URLs will consolidate into FAQ sections across the new architecture’s 71 pages, plus a single FAQ hub page at /faq/ for general questions that don’t fit contextually within specific pillars.</w:t>
      </w:r>
    </w:p>
    <w:p>
      <w:pPr>
        <w:spacing w:after="120"/>
      </w:pPr>
      <w:r>
        <w:rPr>
          <w:rFonts w:ascii="Inter" w:cs="Inter" w:eastAsia="Inter" w:hAnsi="Inter"/>
          <w:sz w:val="22"/>
          <w:szCs w:val="22"/>
        </w:rPr>
        <w:t xml:space="preserve">Each FAQ item has been reviewed and assigned to the most relevant pillar or cluster page. Content about Nevada LLC privacy goes to the Privacy pillar’s Nevada Privacy cluster. Content about annual reports goes to the Compliance pillar. Content about charging order protection goes to the Asset Protection pillar. This contextual placement means visitors encounter answers to their questions on the same pages where they’re learning about the services — reducing bounce rates and increasing time on page.</w:t>
      </w:r>
    </w:p>
    <w:p>
      <w:pPr>
        <w:pStyle w:val="Heading2"/>
      </w:pPr>
      <w:r>
        <w:t xml:space="preserve">Gap Analysis: New Content Required</w:t>
      </w:r>
    </w:p>
    <w:p>
      <w:pPr>
        <w:spacing w:after="120"/>
      </w:pPr>
      <w:r>
        <w:rPr>
          <w:rFonts w:ascii="Inter" w:cs="Inter" w:eastAsia="Inter" w:hAnsi="Inter"/>
          <w:sz w:val="22"/>
          <w:szCs w:val="22"/>
        </w:rPr>
        <w:t xml:space="preserve">The migration analysis identified 34 new pages that must be created from scratch because no equivalent content exists on the current site. These gaps align directly with the highest-value competitive opportunities identified in the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500"/>
        <w:gridCol w:w="2860"/>
      </w:tblGrid>
      <w:t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New Page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Pillar</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Priority</w:t>
            </w:r>
          </w:p>
        </w:tc>
        <w:tc>
          <w:tcPr>
            <w:tcW w:type="dxa" w:w="2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Business Privacy (Pillar Hub)</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 privacy-focused hub exists; content scattered across packages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Anonymous LLC Guide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Key competitive opportunity; no competitor owns this topic</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Nominee Services Page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Core differentiator with no dedicated page currently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Best State for Privacy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Comparison content gap; no competitor has this</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Asset Protection (Pillar Hub)</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Asset Protection</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 AP hub exists; content fragmented across state pages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Charging Order Protection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Asset Protection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Key educational concept; no dedicated content exists</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Investment Holding LLC Guide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Asset Protection</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P2</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No guide for this high-value audience segment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Compare All Packages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Conversion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Current comparison page is disorganized and outdated</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BOI/CTA Compliance Guide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w:t>
            </w:r>
          </w:p>
        </w:tc>
        <w:tc>
          <w:tcPr>
            <w:tcW w:type="dxa" w:w="1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P2</w:t>
            </w:r>
          </w:p>
        </w:tc>
        <w:tc>
          <w:tcPr>
            <w:tcW w:type="dxa" w:w="2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Emerging regulatory topic with growing relevance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Compliance (Pillar Hub)</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Compliance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P1 — Launch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No compliance hub exists; RA services buried in packages</w:t>
            </w:r>
          </w:p>
        </w:tc>
      </w:tr>
    </w:tbl>
    <w:p>
      <w:pPr>
        <w:spacing w:after="80"/>
      </w:pPr>
    </w:p>
    <w:p>
      <w:pPr>
        <w:pStyle w:val="Heading2"/>
      </w:pPr>
      <w:r>
        <w:t xml:space="preserve">Cross-Pillar Content Strategy</w:t>
      </w:r>
    </w:p>
    <w:p>
      <w:pPr>
        <w:spacing w:after="120"/>
      </w:pPr>
      <w:r>
        <w:rPr>
          <w:rFonts w:ascii="Inter" w:cs="Inter" w:eastAsia="Inter" w:hAnsi="Inter"/>
          <w:sz w:val="22"/>
          <w:szCs w:val="22"/>
        </w:rPr>
        <w:t xml:space="preserve">Fourteen pages in the new architecture serve content that is relevant to multiple pillars. The internal linking strategy must connect these cross-pillar pages to ensure visitors can navigate between related topics regardless of their entry point. For example, the Nominee Services page is primary to the Privacy pillar but must also be prominently linked from all package pages, the Asset Protection pillar, and state hub pages. Similarly, Wyoming Privacy content belongs to the Privacy pillar but must be accessible from the Wyoming Hub and the Formation pillar’s Wyoming LLC cluster.</w:t>
      </w:r>
    </w:p>
    <w:p>
      <w:r>
        <w:br w:type="page"/>
      </w:r>
    </w:p>
    <w:p>
      <w:pPr>
        <w:pStyle w:val="Heading1"/>
      </w:pPr>
      <w:r>
        <w:t xml:space="preserve">User Journey Analysis</w:t>
      </w:r>
    </w:p>
    <w:p>
      <w:pPr>
        <w:spacing w:after="120"/>
      </w:pPr>
      <w:r>
        <w:rPr>
          <w:rFonts w:ascii="Inter" w:cs="Inter" w:eastAsia="Inter" w:hAnsi="Inter"/>
          <w:sz w:val="22"/>
          <w:szCs w:val="22"/>
        </w:rPr>
        <w:t xml:space="preserve">User journey mapping identified three primary conversion paths corresponding to the three commercial-intent pillars: Privacy, Asset Protection, and Formation. Each journey follows a consistent four-stage funnel — Education, Specifics, Decision, and Conversion — but varies in entry points, information needs, and cross-sell opportunities.</w:t>
      </w:r>
    </w:p>
    <w:p>
      <w:pPr>
        <w:pStyle w:val="Heading2"/>
      </w:pPr>
      <w:r>
        <w:t xml:space="preserve">Journey 1: The Privacy Seeker</w:t>
      </w:r>
    </w:p>
    <w:p>
      <w:pPr>
        <w:spacing w:after="120"/>
      </w:pPr>
      <w:r>
        <w:rPr>
          <w:rFonts w:ascii="Inter" w:cs="Inter" w:eastAsia="Inter" w:hAnsi="Inter"/>
          <w:sz w:val="22"/>
          <w:szCs w:val="22"/>
        </w:rPr>
        <w:t xml:space="preserve">Profile: Privacy-first visitor. Searches for anonymity solutions. Knows they want privacy but may not understand the mechanisms (nominees, offshore records, trust structures). Willing to pay premium for genuine anonymity.</w:t>
      </w:r>
    </w:p>
    <w:p>
      <w:pPr>
        <w:spacing w:after="120"/>
      </w:pPr>
      <w:r>
        <w:rPr>
          <w:rFonts w:ascii="Inter" w:cs="Inter" w:eastAsia="Inter" w:hAnsi="Inter"/>
          <w:sz w:val="22"/>
          <w:szCs w:val="22"/>
        </w:rPr>
        <w:t xml:space="preserve">Conversion path: Privacy Pillar → Anonymous LLC / Nominee Services → Wyoming vs Nevada Privacy Comparison → Gold Package → Conversion. This journey has the highest average order value and represents the primary revenue driver. The critical design insight is that privacy seekers need education before they can evaluate packages — the pillar page must explain what genuine anonymity requires before presenting Gold packages as the solution.</w:t>
      </w:r>
    </w:p>
    <w:p>
      <w:pPr>
        <w:spacing w:after="120"/>
      </w:pPr>
      <w:r>
        <w:rPr>
          <w:rFonts w:ascii="Inter" w:cs="Inter" w:eastAsia="Inter" w:hAnsi="Inter"/>
          <w:sz w:val="22"/>
          <w:szCs w:val="22"/>
        </w:rPr>
        <w:t xml:space="preserve">Cross-sell opportunity: 30–40% upsell potential from Privacy to Asset Protection. Many privacy seekers also need asset protection but haven’t yet connected the two needs. Contextual CTAs within privacy content should surface asset protection as the natural complement.</w:t>
      </w:r>
    </w:p>
    <w:p>
      <w:pPr>
        <w:pStyle w:val="Heading2"/>
      </w:pPr>
      <w:r>
        <w:t xml:space="preserve">Journey 2: The Asset Protector</w:t>
      </w:r>
    </w:p>
    <w:p>
      <w:pPr>
        <w:spacing w:after="120"/>
      </w:pPr>
      <w:r>
        <w:rPr>
          <w:rFonts w:ascii="Inter" w:cs="Inter" w:eastAsia="Inter" w:hAnsi="Inter"/>
          <w:sz w:val="22"/>
          <w:szCs w:val="22"/>
        </w:rPr>
        <w:t xml:space="preserve">Profile: Individuals with $500K+ in assets, real estate investors with multiple properties, and business owners in litigious industries. Understands the risk of lawsuits ($30K–$100K minimum defense costs) and seeks structural protection.</w:t>
      </w:r>
    </w:p>
    <w:p>
      <w:pPr>
        <w:spacing w:after="120"/>
      </w:pPr>
      <w:r>
        <w:rPr>
          <w:rFonts w:ascii="Inter" w:cs="Inter" w:eastAsia="Inter" w:hAnsi="Inter"/>
          <w:sz w:val="22"/>
          <w:szCs w:val="22"/>
        </w:rPr>
        <w:t xml:space="preserve">Conversion path: Asset Protection Pillar → State-Specific AP (Nevada or Wyoming) → AP Comparison → Silver or Gold Package → Conversion. Asset protectors often start with a higher baseline understanding of LLC structures but need education on charging order protection and the distinction between privacy and asset protection.</w:t>
      </w:r>
    </w:p>
    <w:p>
      <w:pPr>
        <w:spacing w:after="120"/>
      </w:pPr>
      <w:r>
        <w:rPr>
          <w:rFonts w:ascii="Inter" w:cs="Inter" w:eastAsia="Inter" w:hAnsi="Inter"/>
          <w:sz w:val="22"/>
          <w:szCs w:val="22"/>
        </w:rPr>
        <w:t xml:space="preserve">Cross-sell opportunity: Many asset protectors benefit from adding privacy features (nominee services) to their formation. The journey should naturally present Gold packages as the recommended option for anyone whose asset protection goals include ownership anonymity.</w:t>
      </w:r>
    </w:p>
    <w:p>
      <w:pPr>
        <w:pStyle w:val="Heading2"/>
      </w:pPr>
      <w:r>
        <w:t xml:space="preserve">Journey 3: The Formation Buyer</w:t>
      </w:r>
    </w:p>
    <w:p>
      <w:pPr>
        <w:spacing w:after="120"/>
      </w:pPr>
      <w:r>
        <w:rPr>
          <w:rFonts w:ascii="Inter" w:cs="Inter" w:eastAsia="Inter" w:hAnsi="Inter"/>
          <w:sz w:val="22"/>
          <w:szCs w:val="22"/>
        </w:rPr>
        <w:t xml:space="preserve">Profile: New business formation in Wyoming or Nevada. May be price-sensitive initially but represents an upsell opportunity once educated on privacy benefits.</w:t>
      </w:r>
    </w:p>
    <w:p>
      <w:pPr>
        <w:spacing w:after="120"/>
      </w:pPr>
      <w:r>
        <w:rPr>
          <w:rFonts w:ascii="Inter" w:cs="Inter" w:eastAsia="Inter" w:hAnsi="Inter"/>
          <w:sz w:val="22"/>
          <w:szCs w:val="22"/>
        </w:rPr>
        <w:t xml:space="preserve">Conversion path: Formation Pillar → Wyoming LLC or Nevada LLC Cluster → State Comparison → Silver Package → Conversion. The strategic opportunity is intercepting formation-intent visitors and educating them on the value of privacy features, potentially upgrading 40%+ from Silver to Gold packages.</w:t>
      </w:r>
    </w:p>
    <w:p>
      <w:pPr>
        <w:pStyle w:val="Heading2"/>
      </w:pPr>
      <w:r>
        <w:t xml:space="preserve">Conversion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60"/>
        <w:gridCol w:w="300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Content Type</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User Goal</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Site Goal</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Education</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Pillar Pages</w:t>
            </w:r>
          </w:p>
        </w:tc>
        <w:tc>
          <w:tcPr>
            <w:tcW w:type="dxa" w:w="2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Understand the problem and available solutions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Establish expertise and build trust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Specifics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Cluster Pages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Learn details about specific services/states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Guide toward appropriate package tier</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Decision</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Comparison Pages</w:t>
            </w:r>
          </w:p>
        </w:tc>
        <w:tc>
          <w:tcPr>
            <w:tcW w:type="dxa" w:w="2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Compare options and choose the best fit</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Reduce decision friction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Conversion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Package Pages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Review inclusions and purchase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Clear CTA with add-on opportunities</w:t>
            </w:r>
          </w:p>
        </w:tc>
      </w:tr>
    </w:tbl>
    <w:p>
      <w:r>
        <w:br w:type="page"/>
      </w:r>
    </w:p>
    <w:p>
      <w:pPr>
        <w:pStyle w:val="Heading1"/>
      </w:pPr>
      <w:r>
        <w:t xml:space="preserve">Validated Site Architecture</w:t>
      </w:r>
    </w:p>
    <w:p>
      <w:pPr>
        <w:spacing w:after="120"/>
      </w:pPr>
      <w:r>
        <w:rPr>
          <w:rFonts w:ascii="Inter" w:cs="Inter" w:eastAsia="Inter" w:hAnsi="Inter"/>
          <w:sz w:val="22"/>
          <w:szCs w:val="22"/>
        </w:rPr>
        <w:t xml:space="preserve">The following site architecture has been validated against the site audit data (392 URLs mapped), competitive analysis (5 competitors benchmarked), content migration map (326 URLs assigned destinations), and user journey flows (3 primary paths confirmed). Every structural decision is traceable to audit findings, competitive gaps, or user intent data.</w:t>
      </w:r>
    </w:p>
    <w:p>
      <w:pPr>
        <w:pStyle w:val="Heading2"/>
      </w:pPr>
      <w:r>
        <w:t xml:space="preserve">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000"/>
        <w:gridCol w:w="5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Component</w:t>
            </w:r>
          </w:p>
        </w:tc>
        <w:tc>
          <w:tcPr>
            <w:tcW w:type="dxa" w:w="1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Count</w:t>
            </w:r>
          </w:p>
        </w:tc>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Pillar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Privacy, Asset Protection, Formation, Compliance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Cluster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24</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Deep-dive service/topic pages under each pillar</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Comparison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Side-by-side decision tools (WY vs NV, LLC vs Corp,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Package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8</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Conversion endpoints with pricing and CTAs</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State Hub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4</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Wyoming, Nevada, California, Florida cross-pillar hubs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Utility Pages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9+</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Homepage, About, Contact, FAQ, Blog, Legal, etc.</w:t>
            </w:r>
          </w:p>
        </w:tc>
      </w:tr>
      <w:tr>
        <w:tc>
          <w:tcPr>
            <w:tcW w:type="dxa" w:w="2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Offshore Pages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6</w:t>
            </w:r>
          </w:p>
        </w:tc>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International formation (Nevis, BVI, Panama, HK, etc.)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Total Architecture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~71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Down from 325 unique URLs (78% consolidation)</w:t>
            </w:r>
          </w:p>
        </w:tc>
      </w:tr>
    </w:tbl>
    <w:p>
      <w:pPr>
        <w:spacing w:after="80"/>
      </w:pPr>
    </w:p>
    <w:p>
      <w:pPr>
        <w:pStyle w:val="Heading2"/>
      </w:pPr>
      <w:r>
        <w:t xml:space="preserve">Pillar 1: Business Privacy (Primary)</w:t>
      </w:r>
    </w:p>
    <w:p>
      <w:pPr>
        <w:spacing w:after="120"/>
      </w:pPr>
      <w:r>
        <w:rPr>
          <w:rFonts w:ascii="Inter" w:cs="Inter" w:eastAsia="Inter" w:hAnsi="Inter"/>
          <w:sz w:val="22"/>
          <w:szCs w:val="22"/>
        </w:rPr>
        <w:t xml:space="preserve">URL: /privacy/ — 11 pages total. Privacy is the lead pillar because it represents Incorporate123’s strongest competitive differentiation (year-round nominees, offshore records) and aligns with the premium pricing model that justifies Gold packages at $1,275–$2,100. No competitor organizes content around privacy as a primary pillar.</w:t>
      </w:r>
    </w:p>
    <w:p>
      <w:pPr>
        <w:pStyle w:val="Heading2"/>
      </w:pPr>
      <w:r>
        <w:t xml:space="preserve">Pillar 2: Asset Protection (Secondary)</w:t>
      </w:r>
    </w:p>
    <w:p>
      <w:pPr>
        <w:spacing w:after="120"/>
      </w:pPr>
      <w:r>
        <w:rPr>
          <w:rFonts w:ascii="Inter" w:cs="Inter" w:eastAsia="Inter" w:hAnsi="Inter"/>
          <w:sz w:val="22"/>
          <w:szCs w:val="22"/>
        </w:rPr>
        <w:t xml:space="preserve">URL: /asset-protection/ — 9 pages total. Asset Protection targets high-net-worth individuals ($500K+ assets) and real estate investors. It is distinct from privacy (protects wealth, not identity) but highly complementary, creating 30–40% cross-sell potential between the two pillars.</w:t>
      </w:r>
    </w:p>
    <w:p>
      <w:pPr>
        <w:pStyle w:val="Heading2"/>
      </w:pPr>
      <w:r>
        <w:t xml:space="preserve">Pillar 3: Company Formation</w:t>
      </w:r>
    </w:p>
    <w:p>
      <w:pPr>
        <w:spacing w:after="120"/>
      </w:pPr>
      <w:r>
        <w:rPr>
          <w:rFonts w:ascii="Inter" w:cs="Inter" w:eastAsia="Inter" w:hAnsi="Inter"/>
          <w:sz w:val="22"/>
          <w:szCs w:val="22"/>
        </w:rPr>
        <w:t xml:space="preserve">URL: /formation/ — 10 pages total. Formation is the competitive but necessary pillar. Rather than competing on price against $0 providers, this pillar emphasizes what’s included in Incorporate123’s packages and serves as the entry point for upselling to Gold privacy packages.</w:t>
      </w:r>
    </w:p>
    <w:p>
      <w:pPr>
        <w:pStyle w:val="Heading2"/>
      </w:pPr>
      <w:r>
        <w:t xml:space="preserve">Pillar 4: Compliance</w:t>
      </w:r>
    </w:p>
    <w:p>
      <w:pPr>
        <w:spacing w:after="120"/>
      </w:pPr>
      <w:r>
        <w:rPr>
          <w:rFonts w:ascii="Inter" w:cs="Inter" w:eastAsia="Inter" w:hAnsi="Inter"/>
          <w:sz w:val="22"/>
          <w:szCs w:val="22"/>
        </w:rPr>
        <w:t xml:space="preserve">URL: /compliance/ — 7 pages total. Post-formation support and ongoing compliance. This pillar differentiates Incorporate123’s year-round registered agent, annual report filing, and corporate minute maintenance from competitors’ minimal service offerings. It also captures existing entity owners as a new customer segment through domestication and foreign registration services.</w:t>
      </w:r>
    </w:p>
    <w:p>
      <w:pPr>
        <w:pStyle w:val="Heading2"/>
      </w:pPr>
      <w:r>
        <w:t xml:space="preserve">URL Strategy</w:t>
      </w:r>
    </w:p>
    <w:p>
      <w:pPr>
        <w:spacing w:after="120"/>
      </w:pPr>
      <w:r>
        <w:rPr>
          <w:rFonts w:ascii="Inter" w:cs="Inter" w:eastAsia="Inter" w:hAnsi="Inter"/>
          <w:sz w:val="22"/>
          <w:szCs w:val="22"/>
        </w:rPr>
        <w:t xml:space="preserve">All URLs follow a flat structure with no directory hierarchy. For example, /wyoming-private-incorporation/ instead of /services/wyoming/private-incorporation/. The pillar/cluster hierarchy is established entirely through internal linking, not URL paths. This approach keeps URLs clean, shareable, and future-proof — pages can be moved between pillars without breaking URLs.</w:t>
      </w:r>
    </w:p>
    <w:p>
      <w:r>
        <w:br w:type="page"/>
      </w:r>
    </w:p>
    <w:p>
      <w:pPr>
        <w:pStyle w:val="Heading1"/>
      </w:pPr>
      <w:r>
        <w:t xml:space="preserve">Strategic Recommendations</w:t>
      </w:r>
    </w:p>
    <w:p>
      <w:pPr>
        <w:pStyle w:val="Heading2"/>
      </w:pPr>
      <w:r>
        <w:t xml:space="preserve">Positioning Strategy</w:t>
      </w:r>
    </w:p>
    <w:p>
      <w:pPr>
        <w:spacing w:after="120"/>
      </w:pPr>
      <w:r>
        <w:rPr>
          <w:rFonts w:ascii="Inter" w:cs="Inter" w:eastAsia="Inter" w:hAnsi="Inter"/>
          <w:sz w:val="22"/>
          <w:szCs w:val="22"/>
        </w:rPr>
        <w:t xml:space="preserve">Lead with Privacy as the primary differentiator. Position year-round nominee services, offshore nominees (included free since 2012), and offshore records custodian as services that competitors literally cannot match. Privacy should be the first pillar in navigation and the dominant homepage messaging.</w:t>
      </w:r>
    </w:p>
    <w:p>
      <w:pPr>
        <w:spacing w:after="120"/>
      </w:pPr>
      <w:r>
        <w:rPr>
          <w:rFonts w:ascii="Inter" w:cs="Inter" w:eastAsia="Inter" w:hAnsi="Inter"/>
          <w:sz w:val="22"/>
          <w:szCs w:val="22"/>
        </w:rPr>
        <w:t xml:space="preserve">Price transparently with bundled value. The audit confirmed that Incorporate123’s all-inclusive pricing ($1,275–$2,100 with nominees included) offers better total value than competitors who charge $400–$5,000/year for nominee add-ons. Make this comparison explicit on package pages.</w:t>
      </w:r>
    </w:p>
    <w:p>
      <w:pPr>
        <w:spacing w:after="120"/>
      </w:pPr>
      <w:r>
        <w:rPr>
          <w:rFonts w:ascii="Inter" w:cs="Inter" w:eastAsia="Inter" w:hAnsi="Inter"/>
          <w:sz w:val="22"/>
          <w:szCs w:val="22"/>
        </w:rPr>
        <w:t xml:space="preserve">Build the trust infrastructure that the site currently lacks. Launch a Trustpilot review collection program immediately. Add 25-year track record messaging, real Reno office photography, and founder credibility signals to compensate for the current zero-review state.</w:t>
      </w:r>
    </w:p>
    <w:p>
      <w:pPr>
        <w:spacing w:after="120"/>
      </w:pPr>
      <w:r>
        <w:rPr>
          <w:rFonts w:ascii="Inter" w:cs="Inter" w:eastAsia="Inter" w:hAnsi="Inter"/>
          <w:sz w:val="22"/>
          <w:szCs w:val="22"/>
        </w:rPr>
        <w:t xml:space="preserve">Implement progressive disclosure for the 80/20 content split. Design all service pages with concise above-the-fold content for the 80% who scan, with expandable sections for the 20% who research deeply. This approach serves both audiences without overwhelming either.</w:t>
      </w:r>
    </w:p>
    <w:p>
      <w:pPr>
        <w:pStyle w:val="Heading2"/>
      </w:pPr>
      <w:r>
        <w:t xml:space="preserve">Findings Informing Future Phases</w:t>
      </w:r>
    </w:p>
    <w:p>
      <w:pPr>
        <w:spacing w:after="120"/>
      </w:pPr>
      <w:r>
        <w:rPr>
          <w:rFonts w:ascii="Inter" w:cs="Inter" w:eastAsia="Inter" w:hAnsi="Inter"/>
          <w:sz w:val="22"/>
          <w:szCs w:val="22"/>
        </w:rPr>
        <w:t xml:space="preserve">The following issues were identified during discovery and will be addressed in their respective workstreams. They are documented here for reference but are not Phase 1 deliverables:</w:t>
      </w:r>
    </w:p>
    <w:p>
      <w:pPr>
        <w:spacing w:after="120"/>
      </w:pPr>
      <w:r>
        <w:rPr>
          <w:rFonts w:ascii="Inter" w:cs="Inter" w:eastAsia="Inter" w:hAnsi="Inter"/>
          <w:sz w:val="22"/>
          <w:szCs w:val="22"/>
        </w:rPr>
        <w:t xml:space="preserve">Design and Development (Phases 2 &amp; 4): Zero H1 tags across the entire site; six broken internal links returning 404 errors; Learning Center content silo with poor internal linking; 54 pages exceeding 1-second response times. CMS platform selection (WordPress or Payload CMS) to be determined after design.</w:t>
      </w:r>
    </w:p>
    <w:p>
      <w:pPr>
        <w:spacing w:after="120"/>
      </w:pPr>
      <w:r>
        <w:rPr>
          <w:rFonts w:ascii="Inter" w:cs="Inter" w:eastAsia="Inter" w:hAnsi="Inter"/>
          <w:sz w:val="22"/>
          <w:szCs w:val="22"/>
        </w:rPr>
        <w:t xml:space="preserve">SEO Strategy (Phase 3): Comprehensive keyword research, page-by-page targeting, schema markup strategy, and full redirect finalization. The competitive analysis identified significant opportunity in the privacy and asset protection keyword spaces — detailed analysis is scoped for that workstream.</w:t>
      </w:r>
    </w:p>
    <w:p>
      <w:pPr>
        <w:spacing w:after="120"/>
      </w:pPr>
      <w:r>
        <w:rPr>
          <w:rFonts w:ascii="Inter" w:cs="Inter" w:eastAsia="Inter" w:hAnsi="Inter"/>
          <w:sz w:val="22"/>
          <w:szCs w:val="22"/>
        </w:rPr>
        <w:t xml:space="preserve">Domain migration from incorporate123.co to incorporate123.com will be executed at launch, coordinated across the SEO and Development workstreams.</w:t>
      </w:r>
    </w:p>
    <w:p>
      <w:pPr>
        <w:spacing w:after="80"/>
      </w:pPr>
    </w:p>
    <w:p>
      <w:pPr>
        <w:pStyle w:val="Heading1"/>
      </w:pPr>
      <w:r>
        <w:t xml:space="preserve">Risk Assessment &amp; Mitigation</w:t>
      </w:r>
    </w:p>
    <w:p>
      <w:pPr>
        <w:spacing w:after="120"/>
      </w:pPr>
      <w:r>
        <w:rPr>
          <w:rFonts w:ascii="Inter" w:cs="Inter" w:eastAsia="Inter" w:hAnsi="Inter"/>
          <w:sz w:val="22"/>
          <w:szCs w:val="22"/>
        </w:rPr>
        <w:t xml:space="preserve">Every migration carries inherent risk. The following assessment identifies the primary risks to this project and the mitigation strategies that will be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Risk</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Severity</w:t>
            </w:r>
          </w:p>
        </w:tc>
        <w:tc>
          <w:tcPr>
            <w:tcW w:type="dxa" w:w="1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Likelihood</w:t>
            </w:r>
          </w:p>
        </w:tc>
        <w:tc>
          <w:tcPr>
            <w:tcW w:type="dxa" w:w="4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Mitigation Strategy</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Temporary ranking loss during migration</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High</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Likely</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Comprehensive 301 redirect map covering all 326 URLs. Staged launch with monitoring. Pre-launch sitemap submission.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Content loss during 326-to-71 consolidation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High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Every URL mapped to a specific destination. No content is deleted; it is reorganized.</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Domain migration (.co to .com) traffic drop</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Medium</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Likely</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1–3 month recovery expected. Executing domain change simultaneously with URL restructure minimizes incremental impact.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Client approval delays extending timeline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Moderate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Clear milestone gate at Phase 1 conclusion. 3–5 business day review windows built into timeline.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Learning Center content value loss</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Medium</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Low</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All 188 FAQ items individually assigned to pillar/cluster pages. FAQ hub captures remaining items.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b/>
                <w:bCs/>
                <w:sz w:val="20"/>
                <w:szCs w:val="20"/>
              </w:rPr>
              <w:t xml:space="preserve">Broken internal links during migration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Medium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Moderate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Pre-launch QA crawl validating all internal links. Post-launch monitoring for 404 spikes.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b/>
                <w:bCs/>
                <w:sz w:val="20"/>
                <w:szCs w:val="20"/>
              </w:rPr>
              <w:t xml:space="preserve">Trust gap with zero reviews at launch</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High</w:t>
            </w:r>
          </w:p>
        </w:tc>
        <w:tc>
          <w:tcPr>
            <w:tcW w:type="dxa" w:w="11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Certain</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Launch Trustpilot review program pre-launch. Implement alternative trust signals (25-year history, office photos, founder bio, guarantee).</w:t>
            </w:r>
          </w:p>
        </w:tc>
      </w:tr>
    </w:tbl>
    <w:p>
      <w:r>
        <w:br w:type="page"/>
      </w:r>
    </w:p>
    <w:p>
      <w:pPr>
        <w:pStyle w:val="Heading1"/>
      </w:pPr>
      <w:r>
        <w:t xml:space="preserve">Next Steps &amp; Phase 2 Transition</w:t>
      </w:r>
    </w:p>
    <w:p>
      <w:pPr>
        <w:spacing w:after="120"/>
      </w:pPr>
      <w:r>
        <w:rPr>
          <w:rFonts w:ascii="Inter" w:cs="Inter" w:eastAsia="Inter" w:hAnsi="Inter"/>
          <w:sz w:val="22"/>
          <w:szCs w:val="22"/>
        </w:rPr>
        <w:t xml:space="preserve">This Discovery Report concludes Phase 1. Upon client approval, the project transitions into parallel workstreams. The validated site architecture, content migration map, and positioning framework serve as the authoritative reference for all subsequent work.</w:t>
      </w:r>
    </w:p>
    <w:p>
      <w:pPr>
        <w:pStyle w:val="Heading2"/>
      </w:pPr>
      <w:r>
        <w:t xml:space="preserve">Approval Required</w:t>
      </w:r>
    </w:p>
    <w:p>
      <w:pPr>
        <w:spacing w:after="120"/>
      </w:pPr>
      <w:r>
        <w:rPr>
          <w:rFonts w:ascii="Inter" w:cs="Inter" w:eastAsia="Inter" w:hAnsi="Inter"/>
          <w:sz w:val="22"/>
          <w:szCs w:val="22"/>
        </w:rPr>
        <w:t xml:space="preserve">Confirm the four-pillar site architecture (Privacy, Asset Protection, Formation, Compliance) as validated.</w:t>
      </w:r>
    </w:p>
    <w:p>
      <w:pPr>
        <w:spacing w:after="120"/>
      </w:pPr>
      <w:r>
        <w:rPr>
          <w:rFonts w:ascii="Inter" w:cs="Inter" w:eastAsia="Inter" w:hAnsi="Inter"/>
          <w:sz w:val="22"/>
          <w:szCs w:val="22"/>
        </w:rPr>
        <w:t xml:space="preserve">Approve the 326-to-71 content consolidation plan and redirect strategy.</w:t>
      </w:r>
    </w:p>
    <w:p>
      <w:pPr>
        <w:spacing w:after="120"/>
      </w:pPr>
      <w:r>
        <w:rPr>
          <w:rFonts w:ascii="Inter" w:cs="Inter" w:eastAsia="Inter" w:hAnsi="Inter"/>
          <w:sz w:val="22"/>
          <w:szCs w:val="22"/>
        </w:rPr>
        <w:t xml:space="preserve">Confirm the positioning framework: “Privacy, Asset Protection &amp; Business Formation Specialists.”</w:t>
      </w:r>
    </w:p>
    <w:p>
      <w:pPr>
        <w:spacing w:after="120"/>
      </w:pPr>
      <w:r>
        <w:rPr>
          <w:rFonts w:ascii="Inter" w:cs="Inter" w:eastAsia="Inter" w:hAnsi="Inter"/>
          <w:sz w:val="22"/>
          <w:szCs w:val="22"/>
        </w:rPr>
        <w:t xml:space="preserve">Decide on primary domain (incorporate123.co vs incorporate123.com) for migration.</w:t>
      </w:r>
    </w:p>
    <w:p>
      <w:pPr>
        <w:spacing w:after="120"/>
      </w:pPr>
      <w:r>
        <w:rPr>
          <w:rFonts w:ascii="Inter" w:cs="Inter" w:eastAsia="Inter" w:hAnsi="Inter"/>
          <w:sz w:val="22"/>
          <w:szCs w:val="22"/>
        </w:rPr>
        <w:t xml:space="preserve">Authorize transition to Phase 2: UX &amp; Interactive Prototyping.</w:t>
      </w:r>
    </w:p>
    <w:p>
      <w:pPr>
        <w:pStyle w:val="Heading2"/>
      </w:pPr>
      <w:r>
        <w:t xml:space="preserve">What Happens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60"/>
        <w:gridCol w:w="3500"/>
      </w:tblGrid>
      <w:tr>
        <w:tc>
          <w:tcPr>
            <w:tcW w:type="dxa" w:w="5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What Happens Next</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Inter" w:cs="Inter" w:eastAsia="Inter" w:hAnsi="Inter"/>
                <w:b/>
                <w:bCs/>
                <w:color w:val="FFFFFF"/>
                <w:sz w:val="20"/>
                <w:szCs w:val="20"/>
              </w:rPr>
              <w:t xml:space="preserve">When</w:t>
            </w:r>
          </w:p>
        </w:tc>
      </w:tr>
      <w:tr>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UX &amp; Interactive Prototyping — clickable prototype of the full site</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Weeks 2–5</w:t>
            </w:r>
          </w:p>
        </w:tc>
      </w:tr>
      <w:tr>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Visual Design &amp; Design System — brand identity, typography, color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Inter" w:cs="Inter" w:eastAsia="Inter" w:hAnsi="Inter"/>
                <w:sz w:val="20"/>
                <w:szCs w:val="20"/>
              </w:rPr>
              <w:t xml:space="preserve">Weeks 2–5</w:t>
            </w:r>
          </w:p>
        </w:tc>
      </w:tr>
      <w:tr>
        <w:tc>
          <w:tcPr>
            <w:tcW w:type="dxa" w:w="5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SEO Strategy &amp; Implementation — page-by-page specifications</w:t>
            </w:r>
          </w:p>
        </w:tc>
        <w:tc>
          <w:tcPr>
            <w:tcW w:type="dxa" w:w="35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Inter" w:cs="Inter" w:eastAsia="Inter" w:hAnsi="Inter"/>
                <w:sz w:val="20"/>
                <w:szCs w:val="20"/>
              </w:rPr>
              <w:t xml:space="preserve">Weeks 3–8</w:t>
            </w:r>
          </w:p>
        </w:tc>
      </w:tr>
    </w:tbl>
    <w:p>
      <w:pPr>
        <w:spacing w:after="80"/>
      </w:pPr>
    </w:p>
    <w:p>
      <w:pPr>
        <w:spacing w:after="80"/>
      </w:pPr>
    </w:p>
    <w:p>
      <w:pPr>
        <w:jc w:val="center"/>
      </w:pPr>
      <w:r>
        <w:rPr>
          <w:rFonts w:ascii="Outfit" w:cs="Outfit" w:eastAsia="Outfit" w:hAnsi="Outfit"/>
          <w:b/>
          <w:bCs/>
          <w:color w:val="1E3A5F"/>
          <w:sz w:val="24"/>
          <w:szCs w:val="24"/>
        </w:rPr>
        <w:t xml:space="preserve">End of Discovery Report</w:t>
      </w:r>
    </w:p>
    <w:p>
      <w:pPr>
        <w:jc w:val="center"/>
      </w:pPr>
      <w:r>
        <w:rPr>
          <w:rFonts w:ascii="Inter" w:cs="Inter" w:eastAsia="Inter" w:hAnsi="Inter"/>
          <w:color w:val="666666"/>
          <w:sz w:val="20"/>
          <w:szCs w:val="20"/>
        </w:rPr>
        <w:t xml:space="preserve">Confidential — BIT Studios × Incorporate123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666666"/>
        <w:sz w:val="16"/>
        <w:szCs w:val="16"/>
      </w:rPr>
      <w:t xml:space="preserve">Confidential — BIT Studios × Incorporate123  |  Page </w:t>
    </w:r>
    <w:r>
      <w:rPr>
        <w:rFonts w:ascii="Inter" w:cs="Inter" w:eastAsia="Inter" w:hAnsi="Inte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color w:val="666666"/>
        <w:sz w:val="16"/>
        <w:szCs w:val="16"/>
      </w:rPr>
      <w:t xml:space="preserve">Incorporate123 — Phase 1: Discovery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utfit" w:cs="Outfit" w:eastAsia="Outfit" w:hAnsi="Outfit"/>
      <w:b/>
      <w:bCs/>
      <w:color w:val="1E3A5F"/>
      <w:sz w:val="32"/>
      <w:szCs w:val="32"/>
    </w:rPr>
  </w:style>
  <w:style w:type="paragraph" w:styleId="Heading2">
    <w:name w:val="Heading 2"/>
    <w:basedOn w:val="Normal"/>
    <w:next w:val="Normal"/>
    <w:qFormat/>
    <w:pPr>
      <w:spacing w:after="160" w:before="240"/>
      <w:outlineLvl w:val="1"/>
    </w:pPr>
    <w:rPr>
      <w:rFonts w:ascii="Outfit" w:cs="Outfit" w:eastAsia="Outfit" w:hAnsi="Outfit"/>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2026-03-10T00:18:27.221Z</dcterms:created>
  <dcterms:modified xsi:type="dcterms:W3CDTF">2026-03-10T00:18:27.245Z</dcterms:modified>
</cp:coreProperties>
</file>

<file path=docProps/custom.xml><?xml version="1.0" encoding="utf-8"?>
<Properties xmlns="http://schemas.openxmlformats.org/officeDocument/2006/custom-properties" xmlns:vt="http://schemas.openxmlformats.org/officeDocument/2006/docPropsVTypes"/>
</file>