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Outfit" w:cs="Outfit" w:eastAsia="Outfit" w:hAnsi="Outfit"/>
          <w:color w:val="666666"/>
          <w:sz w:val="20"/>
          <w:szCs w:val="20"/>
        </w:rPr>
        <w:t xml:space="preserve">Incorporate123 Website Redesign</w:t>
      </w:r>
    </w:p>
    <w:p>
      <w:pPr>
        <w:spacing w:after="60"/>
      </w:pPr>
      <w:r>
        <w:rPr>
          <w:rFonts w:ascii="Outfit" w:cs="Outfit" w:eastAsia="Outfit" w:hAnsi="Outfit"/>
          <w:b/>
          <w:bCs/>
          <w:color w:val="1E3A5F"/>
          <w:sz w:val="34"/>
          <w:szCs w:val="34"/>
        </w:rPr>
        <w:t xml:space="preserve">Phase 1: Discovery &amp; Strategy — Executive Summary</w:t>
      </w:r>
    </w:p>
    <w:p>
      <w:pPr>
        <w:pBdr>
          <w:bottom w:val="single" w:color="2563EB" w:sz="6" w:space="8"/>
        </w:pBdr>
        <w:spacing w:after="200"/>
      </w:pPr>
      <w:r>
        <w:rPr>
          <w:rFonts w:ascii="Inter" w:cs="Inter" w:eastAsia="Inter" w:hAnsi="Inter"/>
          <w:color w:val="666666"/>
          <w:sz w:val="20"/>
          <w:szCs w:val="20"/>
        </w:rPr>
        <w:t xml:space="preserve">BIT Studios  |  March 2026</w:t>
      </w:r>
    </w:p>
    <w:p>
      <w:pPr>
        <w:pStyle w:val="Heading1"/>
      </w:pPr>
      <w:r>
        <w:t xml:space="preserve">The Situation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Incorporate123 has operated for 25 years as a Nevada incorporation company. The current website organizes everything by geography — forcing visitors to pick a state before discovering services. Privacy, nominee services, and asset protection — the company’s strongest differentiators — are buried inside package pages rather than leading the conversation.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site is 2.3x larger than initially estimated: 392 URLs across 23 template types, with the Learning Center alone accounting for 62% of all pages. Zero pages have H1 tags. 209 pages share a single generic title. The site structure actively works against the business.</w:t>
      </w:r>
    </w:p>
    <w:p>
      <w:pPr>
        <w:pStyle w:val="Heading1"/>
      </w:pPr>
      <w:r>
        <w:t xml:space="preserve">What We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Competitive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Among the five competitors analyzed, none combines modern UX, privacy-first content architecture, transparent pricing, and comprehensive nominee services. Privacy-related queries are dominated by law firms and publishers that educate but cannot sell formation services.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Content consolidation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All 326 unique URLs map cleanly into four intent-based pillars (Privacy, Asset Protection, Formation, Compliance). The new 71-page architecture eliminates redundancy while preserving every piece of content worth keeping.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Conversion paths defined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11 user journeys mapped end-to-end, from first search through checkout. Three primary paths (Privacy, Asset Protection, Formation) each follow the same funnel: Education → Specifics → Comparison → Package → Conversion.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Trust gap is the biggest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Incorporate123 has zero reviews on any public platform. Competitors range from 583 to 25,821 reviews. Alternative trust signals (25-year track record, real Reno office, founder visibility, guarantee) must compensate at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Redirect plan drafted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~170 redirects mapped to preserve 25 years of domain authority during migration. Highest-inlinked pages get individually verified targets.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What We Built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Phase 1 produced four deliverables that serve as the binding reference for the rest of the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Discovery 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Audit findings, competitive analysis, user journeys, validated architecture, and strategic recommendations — all in one document.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Validated Site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71-page site map across four pillars, URL structure, navigation hierarchy, internal linking strategy, and launch priority phasing.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Content Migration Map &amp; Redirect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Every current URL mapped to its new destination. Includes gap analysis (34 new pages), FAQ consolidation (188 items), and draft redirect 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Positioning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Target audience, brand voice, competitive differentiation, pillar messaging, pricing positioning, trust architecture, and the 80/20 content model.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What Happens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UX &amp; Interactive Prototyping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Weeks 2–5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Visual Design &amp; Design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Weeks 2–5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SEO Strategy &amp; Implementation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Weeks 3–8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What We Need From You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Your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review and approval of the site architecture</w:t>
      </w:r>
      <w:r>
        <w:rPr>
          <w:rFonts w:ascii="Inter" w:cs="Inter" w:eastAsia="Inter" w:hAnsi="Inter"/>
          <w:sz w:val="22"/>
          <w:szCs w:val="22"/>
        </w:rPr>
        <w:t xml:space="preserve"> — the 71-page structure, four pillars, and URL strategy — is the gate that unlocks everything above.</w:t>
      </w:r>
    </w:p>
    <w:p>
      <w:pPr>
        <w:spacing w:after="60"/>
      </w:pPr>
    </w:p>
    <w:p>
      <w:pPr>
        <w:pBdr>
          <w:left w:val="single" w:color="2563EB" w:sz="12" w:space="8"/>
        </w:pBdr>
        <w:spacing w:after="120"/>
        <w:ind w:left="200"/>
      </w:pPr>
      <w:r>
        <w:rPr>
          <w:rFonts w:ascii="Inter" w:cs="Inter" w:eastAsia="Inter" w:hAnsi="Inter"/>
          <w:i/>
          <w:iCs/>
          <w:color w:val="1E3A5F"/>
          <w:sz w:val="22"/>
          <w:szCs w:val="22"/>
        </w:rPr>
        <w:t xml:space="preserve">Questions? We’re happy to walk through any of the deliverables in detail.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BIT Studios × Incorporate123  |  Confidential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Outfit" w:cs="Outfit" w:eastAsia="Outfit" w:hAnsi="Outfit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2026-03-10T18:10:37.433Z</dcterms:created>
  <dcterms:modified xsi:type="dcterms:W3CDTF">2026-03-10T18:10:37.435Z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