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Outfit" w:cs="Outfit" w:eastAsia="Outfit" w:hAnsi="Outfit"/>
          <w:b/>
          <w:bCs/>
          <w:color w:val="1E3A5F"/>
          <w:sz w:val="44"/>
          <w:szCs w:val="44"/>
        </w:rPr>
        <w:t xml:space="preserve">INCORPORATE123</w:t>
      </w:r>
    </w:p>
    <w:p>
      <w:pPr>
        <w:spacing w:after="80"/>
        <w:jc w:val="center"/>
      </w:pPr>
      <w:r>
        <w:rPr>
          <w:rFonts w:ascii="Outfit" w:cs="Outfit" w:eastAsia="Outfit" w:hAnsi="Outfit"/>
          <w:color w:val="666666"/>
          <w:sz w:val="28"/>
          <w:szCs w:val="28"/>
        </w:rPr>
        <w:t xml:space="preserve">Website Redesign Project</w:t>
      </w:r>
    </w:p>
    <w:p>
      <w:pPr>
        <w:spacing w:after="80"/>
      </w:pPr>
    </w:p>
    <w:p>
      <w:pPr>
        <w:spacing w:after="80"/>
        <w:jc w:val="center"/>
      </w:pPr>
      <w:r>
        <w:rPr>
          <w:rFonts w:ascii="Outfit" w:cs="Outfit" w:eastAsia="Outfit" w:hAnsi="Outfit"/>
          <w:b/>
          <w:bCs/>
          <w:color w:val="2563EB"/>
          <w:sz w:val="36"/>
          <w:szCs w:val="36"/>
        </w:rPr>
        <w:t xml:space="preserve">POSITIONING FRAMEWORK</w:t>
      </w:r>
    </w:p>
    <w:p>
      <w:pPr>
        <w:spacing w:after="200"/>
        <w:jc w:val="center"/>
      </w:pPr>
      <w:r>
        <w:rPr>
          <w:rFonts w:ascii="Inter" w:cs="Inter" w:eastAsia="Inter" w:hAnsi="Inter"/>
          <w:color w:val="666666"/>
          <w:sz w:val="22"/>
          <w:szCs w:val="22"/>
        </w:rPr>
        <w:t xml:space="preserve">Strategic Messaging, Differentiation &amp; Target Audience</w:t>
      </w:r>
    </w:p>
    <w:p>
      <w:pPr>
        <w:spacing w:after="80"/>
      </w:pPr>
    </w:p>
    <w:p>
      <w:pPr>
        <w:spacing w:after="80"/>
      </w:pPr>
    </w:p>
    <w:p>
      <w:pPr>
        <w:jc w:val="center"/>
      </w:pPr>
      <w:r>
        <w:rPr>
          <w:rFonts w:ascii="Inter" w:cs="Inter" w:eastAsia="Inter" w:hAnsi="Inter"/>
          <w:color w:val="666666"/>
          <w:sz w:val="22"/>
          <w:szCs w:val="22"/>
        </w:rPr>
        <w:t xml:space="preserve">Prepared for: David, Incorporate123</w:t>
      </w:r>
    </w:p>
    <w:p>
      <w:pPr>
        <w:jc w:val="center"/>
      </w:pPr>
      <w:r>
        <w:rPr>
          <w:rFonts w:ascii="Inter" w:cs="Inter" w:eastAsia="Inter" w:hAnsi="Inter"/>
          <w:color w:val="666666"/>
          <w:sz w:val="22"/>
          <w:szCs w:val="22"/>
        </w:rPr>
        <w:t xml:space="preserve">Prepared by: BIT Studios</w:t>
      </w:r>
    </w:p>
    <w:p>
      <w:pPr>
        <w:jc w:val="center"/>
      </w:pPr>
      <w:r>
        <w:rPr>
          <w:rFonts w:ascii="Inter" w:cs="Inter" w:eastAsia="Inter" w:hAnsi="Inter"/>
          <w:color w:val="666666"/>
          <w:sz w:val="22"/>
          <w:szCs w:val="22"/>
        </w:rPr>
        <w:t xml:space="preserve">March 2026 • Phase 1 Deliverable</w:t>
      </w:r>
    </w:p>
    <w:p>
      <w:pPr>
        <w:spacing w:before="200"/>
        <w:jc w:val="center"/>
      </w:pPr>
      <w:r>
        <w:rPr>
          <w:rFonts w:ascii="Inter" w:cs="Inter" w:eastAsia="Inter" w:hAnsi="Inter"/>
          <w:b/>
          <w:bCs/>
          <w:color w:val="1E3A5F"/>
          <w:sz w:val="20"/>
          <w:szCs w:val="20"/>
        </w:rPr>
        <w:t xml:space="preserve">CONFIDENTIAL</w:t>
      </w:r>
    </w:p>
    <w:p>
      <w:r>
        <w:br w:type="page"/>
      </w:r>
    </w:p>
    <w:p>
      <w:pPr>
        <w:pStyle w:val="Heading1"/>
      </w:pPr>
      <w:r>
        <w:t xml:space="preserve">Positioning Statement</w:t>
      </w:r>
    </w:p>
    <w:p>
      <w:pPr>
        <w:spacing w:after="80"/>
      </w:pPr>
    </w:p>
    <w:p>
      <w:pPr>
        <w:pBdr>
          <w:left w:val="single" w:color="2563EB" w:sz="12" w:space="8"/>
        </w:pBdr>
        <w:spacing w:after="200"/>
        <w:ind w:left="200"/>
      </w:pPr>
      <w:r>
        <w:rPr>
          <w:rFonts w:ascii="Inter" w:cs="Inter" w:eastAsia="Inter" w:hAnsi="Inter"/>
          <w:i/>
          <w:iCs/>
          <w:color w:val="1E3A5F"/>
          <w:sz w:val="24"/>
          <w:szCs w:val="24"/>
        </w:rPr>
        <w:t xml:space="preserve">Incorporate123 is the premier privacy-focused business formation specialist, offering year-round nominee services, offshore records custodian, and comprehensive asset protection structures for entrepreneurs and high-net-worth individuals who require genuine ownership anonymity — not just formation paperwork.</w:t>
      </w:r>
    </w:p>
    <w:p>
      <w:pPr>
        <w:spacing w:after="80"/>
      </w:pPr>
    </w:p>
    <w:p>
      <w:pPr>
        <w:pStyle w:val="Heading2"/>
      </w:pPr>
      <w:r>
        <w:t xml:space="preserve">The Positioning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Dimension</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Current Positioning</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New Positioning</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Primary Identity</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Nevada incorporation company</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 Asset Protection &amp; Business Formation Specialists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Navigation Logic</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Geography-first (pick a state)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Intent-first (pick your goal)</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Lead Service</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Nevada LLC formation</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Business privacy and anonymous LLC formation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Value Proposition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Form a Nevada company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Protect your identity and assets with genuine anonymity</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Price Justification</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Bundled package convenience</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Premium privacy services competitors cannot offer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Competitive Frame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vs. NCH, other NV incorporators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vs. attorney-led firms, with better value and transparency</w:t>
            </w:r>
          </w:p>
        </w:tc>
      </w:tr>
    </w:tbl>
    <w:p>
      <w:r>
        <w:br w:type="page"/>
      </w:r>
    </w:p>
    <w:p>
      <w:pPr>
        <w:pStyle w:val="Heading1"/>
      </w:pPr>
      <w:r>
        <w:t xml:space="preserve">Target Audience</w:t>
      </w:r>
    </w:p>
    <w:p>
      <w:pPr>
        <w:pStyle w:val="Heading2"/>
      </w:pPr>
      <w:r>
        <w:t xml:space="preserve">Primary Audience</w:t>
      </w:r>
    </w:p>
    <w:p>
      <w:pPr>
        <w:spacing w:after="120"/>
      </w:pPr>
      <w:r>
        <w:rPr>
          <w:rFonts w:ascii="Inter" w:cs="Inter" w:eastAsia="Inter" w:hAnsi="Inter"/>
          <w:sz w:val="22"/>
          <w:szCs w:val="22"/>
        </w:rPr>
        <w:t xml:space="preserve">Privacy-conscious entrepreneurs and small business owners with $500K+ in assets who prioritize ownership anonymity and legal asset protection over lowest price. These individuals understand that a single lawsuit costs $30,000–$100,000 to defend and seek proactive structural protection rather than reactive legal defense.</w:t>
      </w:r>
    </w:p>
    <w:p>
      <w:pPr>
        <w:pStyle w:val="Heading2"/>
      </w:pPr>
      <w:r>
        <w:t xml:space="preserve">Psychographic Profile</w:t>
      </w:r>
    </w:p>
    <w:p>
      <w:pPr>
        <w:spacing w:after="120"/>
      </w:pPr>
      <w:r>
        <w:rPr>
          <w:rFonts w:ascii="Inter" w:cs="Inter" w:eastAsia="Inter" w:hAnsi="Inter"/>
          <w:b/>
          <w:bCs/>
          <w:sz w:val="22"/>
          <w:szCs w:val="22"/>
        </w:rPr>
        <w:t xml:space="preserve">Lawsuit-averse:</w:t>
      </w:r>
    </w:p>
    <w:p>
      <w:pPr>
        <w:spacing w:after="120"/>
      </w:pPr>
      <w:r>
        <w:rPr>
          <w:rFonts w:ascii="Inter" w:cs="Inter" w:eastAsia="Inter" w:hAnsi="Inter"/>
          <w:sz w:val="22"/>
          <w:szCs w:val="22"/>
        </w:rPr>
        <w:t xml:space="preserve">Understand the cost of litigation and seek prevention over reaction.</w:t>
      </w:r>
    </w:p>
    <w:p>
      <w:pPr>
        <w:spacing w:after="120"/>
      </w:pPr>
      <w:r>
        <w:rPr>
          <w:rFonts w:ascii="Inter" w:cs="Inter" w:eastAsia="Inter" w:hAnsi="Inter"/>
          <w:b/>
          <w:bCs/>
          <w:sz w:val="22"/>
          <w:szCs w:val="22"/>
        </w:rPr>
        <w:t xml:space="preserve">Privacy-conscious:</w:t>
      </w:r>
    </w:p>
    <w:p>
      <w:pPr>
        <w:spacing w:after="120"/>
      </w:pPr>
      <w:r>
        <w:rPr>
          <w:rFonts w:ascii="Inter" w:cs="Inter" w:eastAsia="Inter" w:hAnsi="Inter"/>
          <w:sz w:val="22"/>
          <w:szCs w:val="22"/>
        </w:rPr>
        <w:t xml:space="preserve">Want ownership kept out of public records for personal safety, competitive reasons, or asset protection.</w:t>
      </w:r>
    </w:p>
    <w:p>
      <w:pPr>
        <w:spacing w:after="120"/>
      </w:pPr>
      <w:r>
        <w:rPr>
          <w:rFonts w:ascii="Inter" w:cs="Inter" w:eastAsia="Inter" w:hAnsi="Inter"/>
          <w:b/>
          <w:bCs/>
          <w:sz w:val="22"/>
          <w:szCs w:val="22"/>
        </w:rPr>
        <w:t xml:space="preserve">Research-oriented:</w:t>
      </w:r>
    </w:p>
    <w:p>
      <w:pPr>
        <w:spacing w:after="120"/>
      </w:pPr>
      <w:r>
        <w:rPr>
          <w:rFonts w:ascii="Inter" w:cs="Inter" w:eastAsia="Inter" w:hAnsi="Inter"/>
          <w:sz w:val="22"/>
          <w:szCs w:val="22"/>
        </w:rPr>
        <w:t xml:space="preserve">Will read detailed content, compare options, and evaluate services before purchasing. Not impulse buyers.</w:t>
      </w:r>
    </w:p>
    <w:p>
      <w:pPr>
        <w:spacing w:after="120"/>
      </w:pPr>
      <w:r>
        <w:rPr>
          <w:rFonts w:ascii="Inter" w:cs="Inter" w:eastAsia="Inter" w:hAnsi="Inter"/>
          <w:b/>
          <w:bCs/>
          <w:sz w:val="22"/>
          <w:szCs w:val="22"/>
        </w:rPr>
        <w:t xml:space="preserve">Quality-focused:</w:t>
      </w:r>
    </w:p>
    <w:p>
      <w:pPr>
        <w:spacing w:after="120"/>
      </w:pPr>
      <w:r>
        <w:rPr>
          <w:rFonts w:ascii="Inter" w:cs="Inter" w:eastAsia="Inter" w:hAnsi="Inter"/>
          <w:sz w:val="22"/>
          <w:szCs w:val="22"/>
        </w:rPr>
        <w:t xml:space="preserve">Willing to pay $1,275–$2,100 for comprehensive privacy services versus $0 for basic formation.</w:t>
      </w:r>
    </w:p>
    <w:p>
      <w:pPr>
        <w:spacing w:after="120"/>
      </w:pPr>
      <w:r>
        <w:rPr>
          <w:rFonts w:ascii="Inter" w:cs="Inter" w:eastAsia="Inter" w:hAnsi="Inter"/>
          <w:b/>
          <w:bCs/>
          <w:sz w:val="22"/>
          <w:szCs w:val="22"/>
        </w:rPr>
        <w:t xml:space="preserve">Sophisticated:</w:t>
      </w:r>
    </w:p>
    <w:p>
      <w:pPr>
        <w:spacing w:after="120"/>
      </w:pPr>
      <w:r>
        <w:rPr>
          <w:rFonts w:ascii="Inter" w:cs="Inter" w:eastAsia="Inter" w:hAnsi="Inter"/>
          <w:sz w:val="22"/>
          <w:szCs w:val="22"/>
        </w:rPr>
        <w:t xml:space="preserve">Understand or can learn the value of nominees, offshore records, and multi-entity structures.</w:t>
      </w:r>
    </w:p>
    <w:p>
      <w:pPr>
        <w:pStyle w:val="Heading2"/>
      </w:pPr>
      <w:r>
        <w:t xml:space="preserve">Secondary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Need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Entry Point</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Package Target</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Real estate investors</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Asset protection for multiple properties</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Asset Protection pillar</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Gold + holding LLC add-on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CA/FL business owners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Privacy from state-level disclosure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CA/FL Private clusters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Gold (WY/NV + foreign reg.)</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International entrepreneurs</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US entity for global operations</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Formation pillar</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Silver or Gold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Existing entity owners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Better agent, domestication,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Compliance pillar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Compliance add-ons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High-net-worth individuals</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Comprehensive AP structures</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Asset Protection pillar</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Gold + offshore consultation</w:t>
            </w:r>
          </w:p>
        </w:tc>
      </w:tr>
    </w:tbl>
    <w:p>
      <w:r>
        <w:br w:type="page"/>
      </w:r>
    </w:p>
    <w:p>
      <w:pPr>
        <w:pStyle w:val="Heading1"/>
      </w:pPr>
      <w:r>
        <w:t xml:space="preserve">Competitive Differentiation</w:t>
      </w:r>
    </w:p>
    <w:p>
      <w:pPr>
        <w:pStyle w:val="Heading2"/>
      </w:pPr>
      <w:r>
        <w:t xml:space="preserve">Unique Value Propositions</w:t>
      </w:r>
    </w:p>
    <w:p>
      <w:pPr>
        <w:spacing w:after="120"/>
      </w:pPr>
      <w:r>
        <w:rPr>
          <w:rFonts w:ascii="Inter" w:cs="Inter" w:eastAsia="Inter" w:hAnsi="Inter"/>
          <w:sz w:val="22"/>
          <w:szCs w:val="22"/>
        </w:rPr>
        <w:t xml:space="preserve">These are services or capabilities that Incorporate123 offers and that no budget competitor and most specialist competitors cannot match. They form the core of all messaging, page content, and conversion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Differentiator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What It Means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Competitor Status</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Messaging Priority</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Year-Round Nominee Services</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Nominees maintained 365 days/year, not just at formation</w:t>
            </w:r>
          </w:p>
        </w:tc>
        <w:tc>
          <w:tcPr>
            <w:tcW w:type="dxa" w:w="2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Most offer none; WCS charges $400/yr add-on</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Highest — lead messaging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Free Offshore Nominees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Offshore nominee directors included at no cost since 2012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 competitor offers this free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High — Gold package differentiator</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Offshore Records Custodian</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Corporate records maintained outside US jurisdiction</w:t>
            </w:r>
          </w:p>
        </w:tc>
        <w:tc>
          <w:tcPr>
            <w:tcW w:type="dxa" w:w="2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Unique to Incorporate123</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High — privacy/AP messaging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25 Years Experience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Operating since ~2000 in NV and WY formations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NCH: 30+ yrs, WCS: 20+ yrs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Medium — trust signal</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Real Physical Office</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Kingsbury Executive Suites, Reno, NV</w:t>
            </w:r>
          </w:p>
        </w:tc>
        <w:tc>
          <w:tcPr>
            <w:tcW w:type="dxa" w:w="2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Most competitors are remote or PO box</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Medium — trust signal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All-Inclusive Pricing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State fees, RA, operating agreement, EIN all included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Budget: fees extra. WCS: RA and nominees extra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High — comparison messaging</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Cryptocurrency Accepted</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Bitcoin, Ethereum, XRP, Litecoin, Monero</w:t>
            </w:r>
          </w:p>
        </w:tc>
        <w:tc>
          <w:tcPr>
            <w:tcW w:type="dxa" w:w="2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Only WCS also accepts crypto</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Medium — privacy-aligned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International Structures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Nevis, BVI, Panama, Hong Kong formation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 domestic competitor offers offshore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Medium — credibility builder</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$525 Annual Renewal</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Includes nominees; undercuts WCS ($545+)</w:t>
            </w:r>
          </w:p>
        </w:tc>
        <w:tc>
          <w:tcPr>
            <w:tcW w:type="dxa" w:w="2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NCH ~$350 (no nominees); WCS $545+</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High — value messaging</w:t>
            </w:r>
          </w:p>
        </w:tc>
      </w:tr>
    </w:tbl>
    <w:p>
      <w:r>
        <w:br w:type="page"/>
      </w:r>
    </w:p>
    <w:p>
      <w:pPr>
        <w:pStyle w:val="Heading1"/>
      </w:pPr>
      <w:r>
        <w:t xml:space="preserve">Messaging Framework</w:t>
      </w:r>
    </w:p>
    <w:p>
      <w:pPr>
        <w:pStyle w:val="Heading2"/>
      </w:pPr>
      <w:r>
        <w:t xml:space="preserve">Brand Voice</w:t>
      </w:r>
    </w:p>
    <w:p>
      <w:pPr>
        <w:spacing w:after="120"/>
      </w:pPr>
      <w:r>
        <w:rPr>
          <w:rFonts w:ascii="Inter" w:cs="Inter" w:eastAsia="Inter" w:hAnsi="Inter"/>
          <w:sz w:val="22"/>
          <w:szCs w:val="22"/>
        </w:rPr>
        <w:t xml:space="preserve">Incorporate123’s brand voice should communicate expertise and trustworthiness without legal jargon or fear-mongering. The tone is that of a knowledgeable advisor who explains complex topics in accessible language — not a salesperson pushing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Voice Attribute</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Do</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Avoid</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Authoritative</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Cite 25 years of experience; reference specific statutes and structures</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Vague claims; “best in the business” without evidence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Educational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Explain why privacy matters; teach the difference between privacy and AP</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Assume visitors already understand nominees, charging orders, etc.</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Transparent</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Show all pricing upfront; explain what’s included and what’s not</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Hidden pricing; fine-print exclusions; auto-renewal traps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Reassuring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Emphasize 25-year track record, real office, ongoing support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Fear-based selling; “you’ll get sued if you don’t act now”</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Precise</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Use specific numbers: $1,275, 25 years, $525 annual renewal</w:t>
            </w:r>
          </w:p>
        </w:tc>
        <w:tc>
          <w:tcPr>
            <w:tcW w:type="dxa" w:w="3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Round numbers; “affordable”; “competitive pricing”</w:t>
            </w:r>
          </w:p>
        </w:tc>
      </w:tr>
    </w:tbl>
    <w:p>
      <w:pPr>
        <w:spacing w:after="80"/>
      </w:pPr>
    </w:p>
    <w:p>
      <w:pPr>
        <w:pStyle w:val="Heading2"/>
      </w:pPr>
      <w:r>
        <w:t xml:space="preserve">Pillar-Specific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360"/>
        <w:gridCol w:w="300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Pillar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Core Message</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Primary CTA</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Trust Element</w:t>
            </w:r>
          </w:p>
        </w:tc>
      </w:tr>
      <w:tr>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Privacy</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 You Can’t Get Elsewhere — year-round nominees, offshore records, genuine anonymity</w:t>
            </w:r>
          </w:p>
        </w:tc>
        <w:tc>
          <w:tcPr>
            <w:tcW w:type="dxa" w:w="2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Protect Your Privacy</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“Year-round nominees included — not ‘nominee for a day’”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Asset Protection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Protect What You’ve Built — charging order protection, holding structures, multi-entity strategies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Protect Your Assets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“For individuals with $500K+ in assets”</w:t>
            </w:r>
          </w:p>
        </w:tc>
      </w:tr>
      <w:tr>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Formation</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Expert Formation, All-Inclusive — everything you need to start, nothing hidden</w:t>
            </w:r>
          </w:p>
        </w:tc>
        <w:tc>
          <w:tcPr>
            <w:tcW w:type="dxa" w:w="2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Start Your Company</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“25 years forming Wyoming and Nevada entities”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Compliance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Ongoing Support, Not Just a Mailbox — year-round registered agent, annual reports, corporate minutes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Stay Compliant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“Full corporate minute maintenance included”</w:t>
            </w:r>
          </w:p>
        </w:tc>
      </w:tr>
    </w:tbl>
    <w:p>
      <w:r>
        <w:br w:type="page"/>
      </w:r>
    </w:p>
    <w:p>
      <w:pPr>
        <w:pStyle w:val="Heading1"/>
      </w:pPr>
      <w:r>
        <w:t xml:space="preserve">Pricing Positioning</w:t>
      </w:r>
    </w:p>
    <w:p>
      <w:pPr>
        <w:spacing w:after="120"/>
      </w:pPr>
      <w:r>
        <w:rPr>
          <w:rFonts w:ascii="Inter" w:cs="Inter" w:eastAsia="Inter" w:hAnsi="Inter"/>
          <w:sz w:val="22"/>
          <w:szCs w:val="22"/>
        </w:rPr>
        <w:t xml:space="preserve">Incorporate123’s pricing sits in a genuine white space between budget filers ($0–$399) and consultation-gated premium firms ($2,750+). The messaging strategy must justify this premium through the unique value of included services rather than competing on price.</w:t>
      </w:r>
    </w:p>
    <w:p>
      <w:pPr>
        <w:pStyle w:val="Heading2"/>
      </w:pPr>
      <w:r>
        <w:t xml:space="preserve">Price-Value Comparison Messaging</w:t>
      </w:r>
    </w:p>
    <w:p>
      <w:pPr>
        <w:spacing w:after="120"/>
      </w:pPr>
      <w:r>
        <w:rPr>
          <w:rFonts w:ascii="Inter" w:cs="Inter" w:eastAsia="Inter" w:hAnsi="Inter"/>
          <w:sz w:val="22"/>
          <w:szCs w:val="22"/>
        </w:rPr>
        <w:t xml:space="preserve">Package pages should include explicit comparison messaging that reframes the price discussion from absolute cost to included value.</w:t>
      </w:r>
    </w:p>
    <w:p>
      <w:pPr>
        <w:spacing w:after="80"/>
      </w:pPr>
    </w:p>
    <w:p>
      <w:pPr>
        <w:pBdr>
          <w:left w:val="single" w:color="2563EB" w:sz="12" w:space="8"/>
        </w:pBdr>
        <w:spacing w:after="200"/>
        <w:ind w:left="200"/>
      </w:pPr>
      <w:r>
        <w:rPr>
          <w:rFonts w:ascii="Inter" w:cs="Inter" w:eastAsia="Inter" w:hAnsi="Inter"/>
          <w:i/>
          <w:iCs/>
          <w:sz w:val="22"/>
          <w:szCs w:val="22"/>
        </w:rPr>
        <w:t xml:space="preserve">Example: Wyoming Gold Package: $1,275 all-inclusive. That includes year-round nominee services (competitors charge $400–$5,000/year), registered agent ($125–$199/year elsewhere), EIN filing ($50–$99 elsewhere), operating agreement (included), and state filing fees (included). Total value of included services: $2,000+ in Year 1. Annual renewal: $525 with nominees — less than what competitors charge for nominee services alone.</w:t>
      </w:r>
    </w:p>
    <w:p>
      <w:pPr>
        <w:pStyle w:val="Heading2"/>
      </w:pPr>
      <w:r>
        <w:t xml:space="preserve">Package Tier Strategy</w:t>
      </w:r>
    </w:p>
    <w:p>
      <w:pPr>
        <w:spacing w:after="120"/>
      </w:pPr>
      <w:r>
        <w:rPr>
          <w:rFonts w:ascii="Inter" w:cs="Inter" w:eastAsia="Inter" w:hAnsi="Inter"/>
          <w:b/>
          <w:bCs/>
          <w:sz w:val="22"/>
          <w:szCs w:val="22"/>
        </w:rPr>
        <w:t xml:space="preserve">Gold Packages (Privacy):</w:t>
      </w:r>
    </w:p>
    <w:p>
      <w:pPr>
        <w:spacing w:after="120"/>
      </w:pPr>
      <w:r>
        <w:rPr>
          <w:rFonts w:ascii="Inter" w:cs="Inter" w:eastAsia="Inter" w:hAnsi="Inter"/>
          <w:sz w:val="22"/>
          <w:szCs w:val="22"/>
        </w:rPr>
        <w:t xml:space="preserve">Positioned as the recommended standard for anyone seeking privacy. Year-round nominees, offshore records, full compliance. This is the hero product.</w:t>
      </w:r>
    </w:p>
    <w:p>
      <w:pPr>
        <w:spacing w:after="120"/>
      </w:pPr>
      <w:r>
        <w:rPr>
          <w:rFonts w:ascii="Inter" w:cs="Inter" w:eastAsia="Inter" w:hAnsi="Inter"/>
          <w:b/>
          <w:bCs/>
          <w:sz w:val="22"/>
          <w:szCs w:val="22"/>
        </w:rPr>
        <w:t xml:space="preserve">Silver Packages (Formation):</w:t>
      </w:r>
    </w:p>
    <w:p>
      <w:pPr>
        <w:spacing w:after="120"/>
      </w:pPr>
      <w:r>
        <w:rPr>
          <w:rFonts w:ascii="Inter" w:cs="Inter" w:eastAsia="Inter" w:hAnsi="Inter"/>
          <w:sz w:val="22"/>
          <w:szCs w:val="22"/>
        </w:rPr>
        <w:t xml:space="preserve">Positioned as the entry point for those who need formation without privacy features. Should include clear upgrade messaging showing what Gold adds.</w:t>
      </w:r>
    </w:p>
    <w:p>
      <w:pPr>
        <w:spacing w:after="120"/>
      </w:pPr>
      <w:r>
        <w:rPr>
          <w:rFonts w:ascii="Inter" w:cs="Inter" w:eastAsia="Inter" w:hAnsi="Inter"/>
          <w:b/>
          <w:bCs/>
          <w:sz w:val="22"/>
          <w:szCs w:val="22"/>
        </w:rPr>
        <w:t xml:space="preserve">Bronze Package (Nevada):</w:t>
      </w:r>
    </w:p>
    <w:p>
      <w:pPr>
        <w:spacing w:after="120"/>
      </w:pPr>
      <w:r>
        <w:rPr>
          <w:rFonts w:ascii="Inter" w:cs="Inter" w:eastAsia="Inter" w:hAnsi="Inter"/>
          <w:sz w:val="22"/>
          <w:szCs w:val="22"/>
        </w:rPr>
        <w:t xml:space="preserve">Budget option for Nevada formation only. Minimal messaging investment; exists for price-sensitive captures who may upgrade later.</w:t>
      </w:r>
    </w:p>
    <w:p>
      <w:pPr>
        <w:pStyle w:val="Heading1"/>
      </w:pPr>
      <w:r>
        <w:t xml:space="preserve">Trust Architecture</w:t>
      </w:r>
    </w:p>
    <w:p>
      <w:pPr>
        <w:spacing w:after="120"/>
      </w:pPr>
      <w:r>
        <w:rPr>
          <w:rFonts w:ascii="Inter" w:cs="Inter" w:eastAsia="Inter" w:hAnsi="Inter"/>
          <w:sz w:val="22"/>
          <w:szCs w:val="22"/>
        </w:rPr>
        <w:t xml:space="preserve">With zero reviews on any public platform, Incorporate123 must build trust through alternative signals until a review program generates sufficient social proof.</w:t>
      </w:r>
    </w:p>
    <w:p>
      <w:pPr>
        <w:pStyle w:val="Heading2"/>
      </w:pPr>
      <w:r>
        <w:t xml:space="preserve">Immediate Trust Signals (Launch)</w:t>
      </w:r>
    </w:p>
    <w:p>
      <w:pPr>
        <w:spacing w:after="120"/>
      </w:pPr>
      <w:r>
        <w:rPr>
          <w:rFonts w:ascii="Inter" w:cs="Inter" w:eastAsia="Inter" w:hAnsi="Inter"/>
          <w:b/>
          <w:bCs/>
          <w:sz w:val="22"/>
          <w:szCs w:val="22"/>
        </w:rPr>
        <w:t xml:space="preserve">25-Year Track Record:</w:t>
      </w:r>
    </w:p>
    <w:p>
      <w:pPr>
        <w:spacing w:after="120"/>
      </w:pPr>
      <w:r>
        <w:rPr>
          <w:rFonts w:ascii="Inter" w:cs="Inter" w:eastAsia="Inter" w:hAnsi="Inter"/>
          <w:sz w:val="22"/>
          <w:szCs w:val="22"/>
        </w:rPr>
        <w:t xml:space="preserve">“Trusted since 2000” or “25 years of specialized experience” in header or hero section.</w:t>
      </w:r>
    </w:p>
    <w:p>
      <w:pPr>
        <w:spacing w:after="120"/>
      </w:pPr>
      <w:r>
        <w:rPr>
          <w:rFonts w:ascii="Inter" w:cs="Inter" w:eastAsia="Inter" w:hAnsi="Inter"/>
          <w:b/>
          <w:bCs/>
          <w:sz w:val="22"/>
          <w:szCs w:val="22"/>
        </w:rPr>
        <w:t xml:space="preserve">Real Reno Office:</w:t>
      </w:r>
    </w:p>
    <w:p>
      <w:pPr>
        <w:spacing w:after="120"/>
      </w:pPr>
      <w:r>
        <w:rPr>
          <w:rFonts w:ascii="Inter" w:cs="Inter" w:eastAsia="Inter" w:hAnsi="Inter"/>
          <w:sz w:val="22"/>
          <w:szCs w:val="22"/>
        </w:rPr>
        <w:t xml:space="preserve">Professional photography of Kingsbury Executive Suites. Physical address displayed prominently.</w:t>
      </w:r>
    </w:p>
    <w:p>
      <w:pPr>
        <w:spacing w:after="120"/>
      </w:pPr>
      <w:r>
        <w:rPr>
          <w:rFonts w:ascii="Inter" w:cs="Inter" w:eastAsia="Inter" w:hAnsi="Inter"/>
          <w:b/>
          <w:bCs/>
          <w:sz w:val="22"/>
          <w:szCs w:val="22"/>
        </w:rPr>
        <w:t xml:space="preserve">Founder Visibility:</w:t>
      </w:r>
    </w:p>
    <w:p>
      <w:pPr>
        <w:spacing w:after="120"/>
      </w:pPr>
      <w:r>
        <w:rPr>
          <w:rFonts w:ascii="Inter" w:cs="Inter" w:eastAsia="Inter" w:hAnsi="Inter"/>
          <w:sz w:val="22"/>
          <w:szCs w:val="22"/>
        </w:rPr>
        <w:t xml:space="preserve">David’s bio, experience, and professional photography on About page and referenced throughout.</w:t>
      </w:r>
    </w:p>
    <w:p>
      <w:pPr>
        <w:spacing w:after="120"/>
      </w:pPr>
      <w:r>
        <w:rPr>
          <w:rFonts w:ascii="Inter" w:cs="Inter" w:eastAsia="Inter" w:hAnsi="Inter"/>
          <w:b/>
          <w:bCs/>
          <w:sz w:val="22"/>
          <w:szCs w:val="22"/>
        </w:rPr>
        <w:t xml:space="preserve">Money-Back Guarantee:</w:t>
      </w:r>
    </w:p>
    <w:p>
      <w:pPr>
        <w:spacing w:after="120"/>
      </w:pPr>
      <w:r>
        <w:rPr>
          <w:rFonts w:ascii="Inter" w:cs="Inter" w:eastAsia="Inter" w:hAnsi="Inter"/>
          <w:sz w:val="22"/>
          <w:szCs w:val="22"/>
        </w:rPr>
        <w:t xml:space="preserve">30-day guarantee badge on all package pages.</w:t>
      </w:r>
    </w:p>
    <w:p>
      <w:pPr>
        <w:spacing w:after="120"/>
      </w:pPr>
      <w:r>
        <w:rPr>
          <w:rFonts w:ascii="Inter" w:cs="Inter" w:eastAsia="Inter" w:hAnsi="Inter"/>
          <w:b/>
          <w:bCs/>
          <w:sz w:val="22"/>
          <w:szCs w:val="22"/>
        </w:rPr>
        <w:t xml:space="preserve">Crypto Payment Badges:</w:t>
      </w:r>
    </w:p>
    <w:p>
      <w:pPr>
        <w:spacing w:after="120"/>
      </w:pPr>
      <w:r>
        <w:rPr>
          <w:rFonts w:ascii="Inter" w:cs="Inter" w:eastAsia="Inter" w:hAnsi="Inter"/>
          <w:sz w:val="22"/>
          <w:szCs w:val="22"/>
        </w:rPr>
        <w:t xml:space="preserve">Bitcoin, Ethereum, XRP, Litecoin, Monero icons — signals alignment with privacy-conscious audience.</w:t>
      </w:r>
    </w:p>
    <w:p>
      <w:pPr>
        <w:spacing w:after="120"/>
      </w:pPr>
      <w:r>
        <w:rPr>
          <w:rFonts w:ascii="Inter" w:cs="Inter" w:eastAsia="Inter" w:hAnsi="Inter"/>
          <w:b/>
          <w:bCs/>
          <w:sz w:val="22"/>
          <w:szCs w:val="22"/>
        </w:rPr>
        <w:t xml:space="preserve">Phone Number Prominent:</w:t>
      </w:r>
    </w:p>
    <w:p>
      <w:pPr>
        <w:spacing w:after="120"/>
      </w:pPr>
      <w:r>
        <w:rPr>
          <w:rFonts w:ascii="Inter" w:cs="Inter" w:eastAsia="Inter" w:hAnsi="Inter"/>
          <w:sz w:val="22"/>
          <w:szCs w:val="22"/>
        </w:rPr>
        <w:t xml:space="preserve">Clickable phone number in header and on every conversion page.</w:t>
      </w:r>
    </w:p>
    <w:p>
      <w:pPr>
        <w:pStyle w:val="Heading2"/>
      </w:pPr>
      <w:r>
        <w:t xml:space="preserve">Post-Launch Trust Building</w:t>
      </w:r>
    </w:p>
    <w:p>
      <w:pPr>
        <w:spacing w:after="120"/>
      </w:pPr>
      <w:r>
        <w:rPr>
          <w:rFonts w:ascii="Inter" w:cs="Inter" w:eastAsia="Inter" w:hAnsi="Inter"/>
          <w:b/>
          <w:bCs/>
          <w:sz w:val="22"/>
          <w:szCs w:val="22"/>
        </w:rPr>
        <w:t xml:space="preserve">Trustpilot Review Program:</w:t>
      </w:r>
    </w:p>
    <w:p>
      <w:pPr>
        <w:spacing w:after="120"/>
      </w:pPr>
      <w:r>
        <w:rPr>
          <w:rFonts w:ascii="Inter" w:cs="Inter" w:eastAsia="Inter" w:hAnsi="Inter"/>
          <w:sz w:val="22"/>
          <w:szCs w:val="22"/>
        </w:rPr>
        <w:t xml:space="preserve">Launch automated review request emails post-service completion. Target: 100+ reviews within 6 months.</w:t>
      </w:r>
    </w:p>
    <w:p>
      <w:pPr>
        <w:spacing w:after="120"/>
      </w:pPr>
      <w:r>
        <w:rPr>
          <w:rFonts w:ascii="Inter" w:cs="Inter" w:eastAsia="Inter" w:hAnsi="Inter"/>
          <w:b/>
          <w:bCs/>
          <w:sz w:val="22"/>
          <w:szCs w:val="22"/>
        </w:rPr>
        <w:t xml:space="preserve">Case Studies:</w:t>
      </w:r>
    </w:p>
    <w:p>
      <w:pPr>
        <w:spacing w:after="120"/>
      </w:pPr>
      <w:r>
        <w:rPr>
          <w:rFonts w:ascii="Inter" w:cs="Inter" w:eastAsia="Inter" w:hAnsi="Inter"/>
          <w:sz w:val="22"/>
          <w:szCs w:val="22"/>
        </w:rPr>
        <w:t xml:space="preserve">Anonymized examples of how clients use privacy and AP structures. Publish 3–5 within first quarter.</w:t>
      </w:r>
    </w:p>
    <w:p>
      <w:pPr>
        <w:spacing w:after="120"/>
      </w:pPr>
      <w:r>
        <w:rPr>
          <w:rFonts w:ascii="Inter" w:cs="Inter" w:eastAsia="Inter" w:hAnsi="Inter"/>
          <w:b/>
          <w:bCs/>
          <w:sz w:val="22"/>
          <w:szCs w:val="22"/>
        </w:rPr>
        <w:t xml:space="preserve">Industry Certifications:</w:t>
      </w:r>
    </w:p>
    <w:p>
      <w:pPr>
        <w:spacing w:after="120"/>
      </w:pPr>
      <w:r>
        <w:rPr>
          <w:rFonts w:ascii="Inter" w:cs="Inter" w:eastAsia="Inter" w:hAnsi="Inter"/>
          <w:sz w:val="22"/>
          <w:szCs w:val="22"/>
        </w:rPr>
        <w:t xml:space="preserve">Explore BBB accreditation, industry association memberships, or professional certifications.</w:t>
      </w:r>
    </w:p>
    <w:p>
      <w:r>
        <w:br w:type="page"/>
      </w:r>
    </w:p>
    <w:p>
      <w:pPr>
        <w:pStyle w:val="Heading1"/>
      </w:pPr>
      <w:r>
        <w:t xml:space="preserve">Content Strategy Principles</w:t>
      </w:r>
    </w:p>
    <w:p>
      <w:pPr>
        <w:pStyle w:val="Heading2"/>
      </w:pPr>
      <w:r>
        <w:t xml:space="preserve">The 80/20 Progressive Disclosure Model</w:t>
      </w:r>
    </w:p>
    <w:p>
      <w:pPr>
        <w:spacing w:after="120"/>
      </w:pPr>
      <w:r>
        <w:rPr>
          <w:rFonts w:ascii="Inter" w:cs="Inter" w:eastAsia="Inter" w:hAnsi="Inter"/>
          <w:sz w:val="22"/>
          <w:szCs w:val="22"/>
        </w:rPr>
        <w:t xml:space="preserve">All service pages follow a consistent content structure that serves two distinct audience types without compromising for 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Element</w:t>
            </w:r>
          </w:p>
        </w:tc>
        <w:tc>
          <w:tcPr>
            <w:tcW w:type="dxa" w:w="39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For 80% (Scanners)</w:t>
            </w:r>
          </w:p>
        </w:tc>
        <w:tc>
          <w:tcPr>
            <w:tcW w:type="dxa" w:w="39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For 20% (Researchers)</w:t>
            </w:r>
          </w:p>
        </w:tc>
      </w:tr>
      <w:tr>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Headlines</w:t>
            </w:r>
          </w:p>
        </w:tc>
        <w:tc>
          <w:tcPr>
            <w:tcW w:type="dxa" w:w="393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Clear value proposition in 8 words or fewer</w:t>
            </w:r>
          </w:p>
        </w:tc>
        <w:tc>
          <w:tcPr>
            <w:tcW w:type="dxa" w:w="393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Subheadlines with specific details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Service Description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3–5 sentence overview with key benefits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Expandable sections with full explanations</w:t>
            </w:r>
          </w:p>
        </w:tc>
      </w:tr>
      <w:tr>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Comparison</w:t>
            </w:r>
          </w:p>
        </w:tc>
        <w:tc>
          <w:tcPr>
            <w:tcW w:type="dxa" w:w="393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Visual comparison table</w:t>
            </w:r>
          </w:p>
        </w:tc>
        <w:tc>
          <w:tcPr>
            <w:tcW w:type="dxa" w:w="393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Detailed prose below table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Pricing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Clear price with “all-inclusive” badge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Itemized breakdown of what’s included</w:t>
            </w:r>
          </w:p>
        </w:tc>
      </w:tr>
      <w:tr>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FAQ</w:t>
            </w:r>
          </w:p>
        </w:tc>
        <w:tc>
          <w:tcPr>
            <w:tcW w:type="dxa" w:w="393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Top 3–5 questions visible</w:t>
            </w:r>
          </w:p>
        </w:tc>
        <w:tc>
          <w:tcPr>
            <w:tcW w:type="dxa" w:w="393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Expandable accordion with 10–15 questions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CTA</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Prominent button above the fold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Multiple CTAs at natural decision points</w:t>
            </w:r>
          </w:p>
        </w:tc>
      </w:tr>
      <w:tr>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Trust</w:t>
            </w:r>
          </w:p>
        </w:tc>
        <w:tc>
          <w:tcPr>
            <w:tcW w:type="dxa" w:w="393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Badge strip (25 years, guarantee, phone)</w:t>
            </w:r>
          </w:p>
        </w:tc>
        <w:tc>
          <w:tcPr>
            <w:tcW w:type="dxa" w:w="393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Full testimonials and case studies</w:t>
            </w:r>
          </w:p>
        </w:tc>
      </w:tr>
    </w:tbl>
    <w:p>
      <w:pPr>
        <w:spacing w:after="80"/>
      </w:pPr>
    </w:p>
    <w:p>
      <w:pPr>
        <w:spacing w:after="80"/>
      </w:pPr>
    </w:p>
    <w:p>
      <w:pPr>
        <w:jc w:val="center"/>
      </w:pPr>
      <w:r>
        <w:rPr>
          <w:rFonts w:ascii="Outfit" w:cs="Outfit" w:eastAsia="Outfit" w:hAnsi="Outfit"/>
          <w:b/>
          <w:bCs/>
          <w:color w:val="1E3A5F"/>
          <w:sz w:val="24"/>
          <w:szCs w:val="24"/>
        </w:rPr>
        <w:t xml:space="preserve">End of Positioning Framework</w:t>
      </w:r>
    </w:p>
    <w:p>
      <w:pPr>
        <w:jc w:val="center"/>
      </w:pPr>
      <w:r>
        <w:rPr>
          <w:rFonts w:ascii="Inter" w:cs="Inter" w:eastAsia="Inter" w:hAnsi="Inter"/>
          <w:color w:val="666666"/>
          <w:sz w:val="20"/>
          <w:szCs w:val="20"/>
        </w:rPr>
        <w:t xml:space="preserve">This framework governs all content creation, design decisions, and marketing messaging for the Incorporate123 redesign.</w:t>
      </w:r>
    </w:p>
    <w:p>
      <w:pPr>
        <w:jc w:val="center"/>
      </w:pPr>
      <w:r>
        <w:rPr>
          <w:rFonts w:ascii="Inter" w:cs="Inter" w:eastAsia="Inter" w:hAnsi="Inter"/>
          <w:color w:val="666666"/>
          <w:sz w:val="20"/>
          <w:szCs w:val="20"/>
        </w:rPr>
        <w:t xml:space="preserve">Confidential — BIT Studios × Incorporate123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66666"/>
        <w:sz w:val="16"/>
        <w:szCs w:val="16"/>
      </w:rPr>
      <w:t xml:space="preserve">Confidential — BIT Studios × Incorporate123  |  Page </w:t>
    </w:r>
    <w:r>
      <w:rPr>
        <w:rFonts w:ascii="Inter" w:cs="Inter" w:eastAsia="Inter" w:hAnsi="Inte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666666"/>
        <w:sz w:val="16"/>
        <w:szCs w:val="16"/>
      </w:rPr>
      <w:t xml:space="preserve">Incorporate123 — Positioning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utfit" w:cs="Outfit" w:eastAsia="Outfit" w:hAnsi="Outfit"/>
      <w:b/>
      <w:bCs/>
      <w:color w:val="1E3A5F"/>
      <w:sz w:val="32"/>
      <w:szCs w:val="32"/>
    </w:rPr>
  </w:style>
  <w:style w:type="paragraph" w:styleId="Heading2">
    <w:name w:val="Heading 2"/>
    <w:basedOn w:val="Normal"/>
    <w:next w:val="Normal"/>
    <w:qFormat/>
    <w:pPr>
      <w:spacing w:after="160" w:before="240"/>
      <w:outlineLvl w:val="1"/>
    </w:pPr>
    <w:rPr>
      <w:rFonts w:ascii="Outfit" w:cs="Outfit" w:eastAsia="Outfit" w:hAnsi="Outfit"/>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2026-03-10T00:20:26.171Z</dcterms:created>
  <dcterms:modified xsi:type="dcterms:W3CDTF">2026-03-10T00:20:26.172Z</dcterms:modified>
</cp:coreProperties>
</file>

<file path=docProps/custom.xml><?xml version="1.0" encoding="utf-8"?>
<Properties xmlns="http://schemas.openxmlformats.org/officeDocument/2006/custom-properties" xmlns:vt="http://schemas.openxmlformats.org/officeDocument/2006/docPropsVTypes"/>
</file>