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Outfit" w:cs="Outfit" w:eastAsia="Outfit" w:hAnsi="Outfit"/>
          <w:b/>
          <w:bCs/>
          <w:color w:val="1E3A5F"/>
          <w:sz w:val="44"/>
          <w:szCs w:val="44"/>
        </w:rPr>
        <w:t xml:space="preserve">INCORPORATE123</w:t>
      </w:r>
    </w:p>
    <w:p>
      <w:pPr>
        <w:spacing w:after="80"/>
        <w:jc w:val="center"/>
      </w:pPr>
      <w:r>
        <w:rPr>
          <w:rFonts w:ascii="Outfit" w:cs="Outfit" w:eastAsia="Outfit" w:hAnsi="Outfit"/>
          <w:color w:val="666666"/>
          <w:sz w:val="28"/>
          <w:szCs w:val="28"/>
        </w:rPr>
        <w:t xml:space="preserve">Website Redesign Project</w:t>
      </w:r>
    </w:p>
    <w:p>
      <w:pPr>
        <w:spacing w:after="80"/>
      </w:pPr>
    </w:p>
    <w:p>
      <w:pPr>
        <w:spacing w:after="80"/>
        <w:jc w:val="center"/>
      </w:pPr>
      <w:r>
        <w:rPr>
          <w:rFonts w:ascii="Outfit" w:cs="Outfit" w:eastAsia="Outfit" w:hAnsi="Outfit"/>
          <w:b/>
          <w:bCs/>
          <w:color w:val="2563EB"/>
          <w:sz w:val="36"/>
          <w:szCs w:val="36"/>
        </w:rPr>
        <w:t xml:space="preserve">VALIDATED SITE ARCHITECTURE</w:t>
      </w:r>
    </w:p>
    <w:p>
      <w:pPr>
        <w:spacing w:after="20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Final • 71-Page Architecture • 4 Content Pillars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Prepared for: David, Incorporate123</w:t>
      </w:r>
    </w:p>
    <w:p>
      <w:pPr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Prepared by: BIT Studios</w:t>
      </w:r>
    </w:p>
    <w:p>
      <w:pPr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March 2026 • Phase 1 Deliverable</w:t>
      </w: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2563EB"/>
          <w:sz w:val="20"/>
          <w:szCs w:val="20"/>
        </w:rPr>
        <w:t xml:space="preserve">STATUS: PENDING CLIENT APPROVAL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This document presents the finalized 71-page site architecture for the Incorporate123 website redesign. The architecture has been validated against: 392 crawled URLs mapped to destinations, 5 competitors analyzed for structural gaps, 3 user journeys confirmed through flow analysis, and content migration data identifying priorities. Every page, URL, and structural decision documented here has a traceable rationale.</w:t>
      </w:r>
    </w:p>
    <w:p>
      <w:pPr>
        <w:pStyle w:val="Heading2"/>
      </w:pPr>
      <w:r>
        <w:t xml:space="preserve">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Pillar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Primary navigation hubs for each service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Cluster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Deep-dive pages supporting each pillar’s topics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Decision-support tools for the consideration stage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Package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Conversion endpoints with pricing and order CTAs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State Hub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Cross-pillar geographic landing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Utility/Support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9+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Homepage, About, Contact, FAQ, Blog, Legal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Offshore 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International formation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~71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Consolidated from 325 unique current URLs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Navigation Structure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primary navigation contains four intent-based items matching the pillar structure, plus utility links. This replaces the current geography-first navigation (United States &gt; Nevada/Wyoming &gt; Services).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Dropdown 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WY LLC, NV LLC, Shelf Companies, LLC vs Corp, Compare Packages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Table-stakes entry; guides to privacy upsell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Anonymous LLC, Nominee Services, WY Privacy, NV Privacy, CA/FL, Best State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Primary differentiator; routes to Gold packages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Asset Protection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AP Guide, NV AP, WY AP, Holding LLC, Charging Order, Best State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Secondary differentiator; high-value audience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Registered Agent, Annual Reports, Foreign Registration, Domestication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Post-formation services; existing client capture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1: Business Privacy</w:t>
      </w:r>
    </w:p>
    <w:p>
      <w:pPr>
        <w:pBdr>
          <w:left w:val="single" w:color="2563EB" w:sz="12" w:space="8"/>
        </w:pBdr>
        <w:spacing w:after="120"/>
        <w:ind w:left="20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Primary Differentiator — 11 pages • Hub URL: /privacy/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Privacy is the lead pillar because it represents Incorporate123’s strongest competitive differentiation (year-round nominees, offshore records), no competitor organizes content around privacy as a primary pillar, and it aligns with the premium pricing model that justifies Gold packages at $1,275–$2,100.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160"/>
        <w:gridCol w:w="1200"/>
        <w:gridCol w:w="1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Business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Pillar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/privacy/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Anonymous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/anonymous-llc/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+ LC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Anonymous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/anonymous-corporation/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+ LC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Nominee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/nominee-services/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(key differentiator)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/wyoming-privacy/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+ existing WY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/nevada-privacy/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+ existing 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California Private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/california-private-incorporation/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Florida Private Inc.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/florida-private-incorporation/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BOI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/boi-reporting/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Best State for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/best-state-for-privacy/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 vs NV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/wyoming-vs-nevada-privacy/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Pillar 2: Asset Protection</w:t>
      </w:r>
    </w:p>
    <w:p>
      <w:pPr>
        <w:pBdr>
          <w:left w:val="single" w:color="16A34A" w:sz="12" w:space="8"/>
        </w:pBdr>
        <w:spacing w:after="120"/>
        <w:ind w:left="20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Secondary Differentiator — 9 pages • Hub URL: /asset-protection/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Asset Protection targets high-net-worth individuals ($500K+ in assets), real estate investors, and business owners in litigious industries. This pillar educates on the critical distinction between privacy (protects identity) and asset protection (protects wealth), creating natural cross-sell opportunities to the Privacy pillar.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160"/>
        <w:gridCol w:w="1200"/>
        <w:gridCol w:w="1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Asset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Pillar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Asset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reorganize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Asset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reorganize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Investment Holding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/investment-holding-llc/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Charging Order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/charging-order-protection/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+ LC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Real Estate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/real-estate-asset-protection/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LLC vs Living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/llc-vs-living-trust/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Best State for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/best-state-asset-protection/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 vs NV for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/wyoming-vs-nevada-asset-protection/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3: Company Formation</w:t>
      </w:r>
    </w:p>
    <w:p>
      <w:pPr>
        <w:pBdr>
          <w:left w:val="single" w:color="D97706" w:sz="12" w:space="8"/>
        </w:pBdr>
        <w:spacing w:after="120"/>
        <w:ind w:left="20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Competitive but Necessary — 10 pages • Hub URL: /formation/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Formation is the essential service pillar. Rather than competing on price against $0 providers, this pillar emphasizes what’s included in Incorporate123’s bundled packages and serves as the entry point for educating visitors about privacy benefits and upgrading to Gold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160"/>
        <w:gridCol w:w="1200"/>
        <w:gridCol w:w="1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Company 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Pillar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/formation/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/wyoming-llc/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/nevada-llc/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Shelf Companies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/shelf-companies/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LLC vs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/llc-vs-corporation/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Partial — expand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Foreign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/foreign-state-registration/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 vs NV 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/wyoming-vs-nevada/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Partial — expand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Shelf vs 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/shelf-company-vs-new-formation/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Pillar 4: Compliance</w:t>
      </w:r>
    </w:p>
    <w:p>
      <w:pPr>
        <w:pBdr>
          <w:left w:val="single" w:color="9333EA" w:sz="12" w:space="8"/>
        </w:pBdr>
        <w:spacing w:after="120"/>
        <w:ind w:left="20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Post-Formation Support — 7 pages • Hub URL: /compliance/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Compliance captures existing entity owners through domestication and foreign registration services while differentiating Incorporate123’s year-round registered agent and corporate minute maintenance from competitors’ minimal post-formation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160"/>
        <w:gridCol w:w="1200"/>
        <w:gridCol w:w="1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Pillar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/compliance/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Registered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/registered-agent/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/wyoming-registered-agent/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/nevada-registered-agent/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Annual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/annual-reports/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Existing — enhance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Foreign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/foreign-state-registration/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Domestication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/domestication/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New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Package Pages, State Hubs &amp; Utility Pages</w:t>
      </w:r>
    </w:p>
    <w:p>
      <w:pPr>
        <w:pStyle w:val="Heading2"/>
      </w:pPr>
      <w:r>
        <w:t xml:space="preserve">Package Pages (8 Conversion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60"/>
        <w:gridCol w:w="1800"/>
        <w:gridCol w:w="19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Pillar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Gold (Private)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/wyoming-private-incorporation/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Privacy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Silver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Formation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Gold (Private)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/nevada-private-incorporation/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Privacy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Silver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Formation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Bronze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/nevada-basic-incorporation/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Formation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Bronze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California Private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/california-private-incorporation/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Privacy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Florida Private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/florida-private-incorporation/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Privacy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Shelf Companies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/shelf-companies/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Formation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State Hub Pages (4 Cross-Pillar Hubs)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6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Wyoming 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/wyoming/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WY content across Privacy, AP, Formation, Compliance pillars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Nevada 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/nevada/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NV content across Privacy, AP, Formation, Compliance pillars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California 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/california/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CA Private Incorporation, foreign registration,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Florida 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/florida/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FL Private Incorporation, foreign registration, compliance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Utility &amp; Support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60"/>
        <w:gridCol w:w="4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Homepage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Hero, pillar CTAs, package links, testimonials, trust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About 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/about/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25-year history, team bios, Reno office, trust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/contact/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Contact form, phone, consultation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FAQ Hub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/faq/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Consolidated from 188 LC FAQ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/blog/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Post-launch content marketing 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Compare Packages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/compare-packages/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packages in comparison table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/testimonials/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Client social proof and review aggregation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/privacy-policy/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/terms/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Legal compliance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Offshore Hub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Retained for authority, de-emphasized in primary navigation. Offshore pages use a /offshore/ prefix as the one exception to the flat URL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6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Offshore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Main offshore services landing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Nevis LLC/Corp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/offshore/nevis/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Nevis formation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BVI Company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/offshore/bvi/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BVI IBC 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Panama Foundation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/offshore/panama/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Panama foundation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Hong Kong Company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/offshore/hong-kong/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HK company 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IRS Compliance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/offshore/irs-compliance/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GILTI/PFIC reporting for US persons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Internal Linking Strategy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pillar/cluster hierarchy is established through internal linking, not URL structure. All URLs are flat (no directory nesting) to keep them clean, shareable, and resilient to structural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 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Pillar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related clusters + comparison pages + relevant packages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In-content links, sidebar nav, bottom CTAs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Cluster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Parent pillar + sibling clusters + relevant comparison + package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Breadcrumb, sidebar, in-content, bottom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Parent pillar + compared packages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In-content links, CTA buttons per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Package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Related packages (Also Consider) + parent pillar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Sidebar, comparison strip, trust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State Hubs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content for that state across all pillars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Organized by pillar with links to each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Outfit" w:cs="Outfit" w:eastAsia="Outfit" w:hAnsi="Outfit"/>
          <w:b/>
          <w:bCs/>
          <w:color w:val="1E3A5F"/>
          <w:sz w:val="24"/>
          <w:szCs w:val="24"/>
        </w:rPr>
        <w:t xml:space="preserve">End of Validated Site Architecture</w:t>
      </w:r>
    </w:p>
    <w:p>
      <w:pPr>
        <w:jc w:val="center"/>
      </w:pPr>
      <w:r>
        <w:rPr>
          <w:rFonts w:ascii="Inter" w:cs="Inter" w:eastAsia="Inter" w:hAnsi="Inter"/>
          <w:color w:val="666666"/>
          <w:sz w:val="20"/>
          <w:szCs w:val="20"/>
        </w:rPr>
        <w:t xml:space="preserve">Confidential — BIT Studios × Incorporate123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— BIT Studios × Incorporate123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66666"/>
        <w:sz w:val="16"/>
        <w:szCs w:val="16"/>
      </w:rPr>
      <w:t xml:space="preserve">Incorporate123 — Validated Site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utfit" w:cs="Outfit" w:eastAsia="Outfit" w:hAnsi="Outfit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Outfit" w:cs="Outfit" w:eastAsia="Outfit" w:hAnsi="Outfit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2026-03-10T00:22:20.857Z</dcterms:created>
  <dcterms:modified xsi:type="dcterms:W3CDTF">2026-03-10T00:22:20.858Z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