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pPr>
      <w:r>
        <w:rPr>
          <w:rFonts w:ascii="Arial" w:cs="Arial" w:eastAsia="Arial" w:hAnsi="Arial"/>
          <w:color w:val="64748B"/>
          <w:sz w:val="20"/>
          <w:szCs w:val="20"/>
        </w:rPr>
        <w:t xml:space="preserve">INCORPORATE123 WEBSITE REDESIGN • PHASE 2: UX &amp; DESIGN</w:t>
      </w:r>
    </w:p>
    <w:p>
      <w:pPr>
        <w:pBdr>
          <w:bottom w:val="single" w:color="1E3A5F" w:sz="6" w:space="8"/>
        </w:pBdr>
        <w:spacing w:after="300"/>
      </w:pPr>
      <w:r>
        <w:rPr>
          <w:rFonts w:ascii="Arial" w:cs="Arial" w:eastAsia="Arial" w:hAnsi="Arial"/>
          <w:b/>
          <w:bCs/>
          <w:color w:val="1E3A5F"/>
          <w:sz w:val="52"/>
          <w:szCs w:val="52"/>
        </w:rPr>
        <w:t xml:space="preserve">Information Architecture</w:t>
      </w:r>
    </w:p>
    <w:p>
      <w:pPr>
        <w:spacing w:after="80"/>
      </w:pPr>
      <w:r>
        <w:rPr>
          <w:rFonts w:ascii="Arial" w:cs="Arial" w:eastAsia="Arial" w:hAnsi="Arial"/>
          <w:color w:val="0F172A"/>
          <w:sz w:val="28"/>
          <w:szCs w:val="28"/>
        </w:rPr>
        <w:t xml:space="preserve">Complete 71-Page Site Map, URL Structure</w:t>
      </w:r>
    </w:p>
    <w:p>
      <w:pPr>
        <w:spacing w:after="80"/>
      </w:pPr>
      <w:r>
        <w:rPr>
          <w:rFonts w:ascii="Arial" w:cs="Arial" w:eastAsia="Arial" w:hAnsi="Arial"/>
          <w:color w:val="0F172A"/>
          <w:sz w:val="28"/>
          <w:szCs w:val="28"/>
        </w:rPr>
        <w:t xml:space="preserve">&amp; Navigation Hierarchy</w:t>
      </w:r>
    </w:p>
    <w:p>
      <w:pPr>
        <w:spacing w:after="600"/>
      </w:pPr>
    </w:p>
    <w:p>
      <w:pPr>
        <w:spacing w:after="80"/>
      </w:pPr>
      <w:r>
        <w:rPr>
          <w:rFonts w:ascii="Arial" w:cs="Arial" w:eastAsia="Arial" w:hAnsi="Arial"/>
          <w:color w:val="64748B"/>
          <w:sz w:val="22"/>
          <w:szCs w:val="22"/>
        </w:rPr>
        <w:t xml:space="preserve">Prepared by: BIT Studios</w:t>
      </w:r>
    </w:p>
    <w:p>
      <w:pPr>
        <w:spacing w:after="80"/>
      </w:pPr>
      <w:r>
        <w:rPr>
          <w:rFonts w:ascii="Arial" w:cs="Arial" w:eastAsia="Arial" w:hAnsi="Arial"/>
          <w:color w:val="64748B"/>
          <w:sz w:val="22"/>
          <w:szCs w:val="22"/>
        </w:rPr>
        <w:t xml:space="preserve">Prepared for: Incorporate123 (David)</w:t>
      </w:r>
    </w:p>
    <w:p>
      <w:pPr>
        <w:spacing w:after="80"/>
      </w:pPr>
      <w:r>
        <w:rPr>
          <w:rFonts w:ascii="Arial" w:cs="Arial" w:eastAsia="Arial" w:hAnsi="Arial"/>
          <w:color w:val="64748B"/>
          <w:sz w:val="22"/>
          <w:szCs w:val="22"/>
        </w:rPr>
        <w:t xml:space="preserve">Date: March 2026</w:t>
      </w:r>
    </w:p>
    <w:p>
      <w:pPr>
        <w:spacing w:after="80"/>
      </w:pPr>
      <w:r>
        <w:rPr>
          <w:rFonts w:ascii="Arial" w:cs="Arial" w:eastAsia="Arial" w:hAnsi="Arial"/>
          <w:color w:val="64748B"/>
          <w:sz w:val="22"/>
          <w:szCs w:val="22"/>
        </w:rPr>
        <w:t xml:space="preserve">Deliverable: Phase 2, Task 1 — Information Architecture</w:t>
      </w:r>
    </w:p>
    <w:p>
      <w:pPr>
        <w:spacing w:after="800"/>
      </w:pPr>
    </w:p>
    <w:p>
      <w:r>
        <w:rPr>
          <w:rFonts w:ascii="Arial" w:cs="Arial" w:eastAsia="Arial" w:hAnsi="Arial"/>
          <w:i/>
          <w:iCs/>
          <w:color w:val="64748B"/>
          <w:sz w:val="20"/>
          <w:szCs w:val="20"/>
        </w:rPr>
        <w:t xml:space="preserve">Confidential — BIT Studios × Incorporate123</w:t>
      </w:r>
    </w:p>
    <w:p>
      <w:pPr>
        <w:sectPr>
          <w:pgSz w:w="12240" w:h="15840" w:orient="portrait"/>
          <w:pgMar w:top="1440" w:right="1440" w:bottom="1440" w:left="1440" w:header="708" w:footer="708" w:gutter="0"/>
          <w:pgNumType/>
          <w:docGrid w:linePitch="360"/>
        </w:sectPr>
      </w:pPr>
    </w:p>
    <w:p>
      <w:pPr>
        <w:pStyle w:val="Heading1"/>
      </w:pPr>
      <w:r>
        <w:t xml:space="preserve">1. Architecture Overview</w:t>
      </w:r>
    </w:p>
    <w:p>
      <w:pPr>
        <w:spacing w:after="160"/>
      </w:pPr>
      <w:r>
        <w:rPr>
          <w:rFonts w:ascii="Arial" w:cs="Arial" w:eastAsia="Arial" w:hAnsi="Arial"/>
          <w:color w:val="334155"/>
          <w:sz w:val="22"/>
          <w:szCs w:val="22"/>
        </w:rPr>
        <w:t xml:space="preserve">This document presents the finalized information architecture for the Incorporate123 website redesign. The architecture consolidates approximately 325 unique current URLs into a focused 71-page structure organized around four intent-based content pillars: Business Privacy, Asset Protection, Company Formation, and Compliance.</w:t>
      </w:r>
    </w:p>
    <w:p>
      <w:pPr>
        <w:spacing w:after="160"/>
      </w:pPr>
      <w:r>
        <w:rPr>
          <w:rFonts w:ascii="Arial" w:cs="Arial" w:eastAsia="Arial" w:hAnsi="Arial"/>
          <w:color w:val="334155"/>
          <w:sz w:val="22"/>
          <w:szCs w:val="22"/>
        </w:rPr>
        <w:t xml:space="preserve">The architecture has been validated against 392 crawled URLs mapped to destinations, 5 competitors analyzed for structural gaps, 5 user journeys confirmed through flow analysis, and SEO keyword data identifying content priorities. Every page, URL, and structural decision is traceable to audit findings, competitive gaps, or user intent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Architecture at a Glance</w:t>
            </w:r>
          </w:p>
          <w:p>
            <w:r>
              <w:rPr>
                <w:rFonts w:ascii="Arial" w:cs="Arial" w:eastAsia="Arial" w:hAnsi="Arial"/>
                <w:color w:val="334155"/>
                <w:sz w:val="20"/>
                <w:szCs w:val="20"/>
              </w:rPr>
              <w:t xml:space="preserve">4 Pillar Pages + 24 Cluster Pages + 6 Comparison Pages + 8 Package Pages + 4 State Hubs + 6 Offshore Pages + 4 Checkout Steps + 10 Utility Pages = ~71 unique pages. Flat URL structure. Internal linking establishes hierarchy. Rolling approval unlocks development.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Pages</w:t>
            </w:r>
          </w:p>
        </w:tc>
        <w:tc>
          <w:tcPr>
            <w:tcW w:type="dxa" w:w="5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Pages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navigation hubs for each service category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 Pages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24</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Deep-dive pages supporting each pillar’s topics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Comparison Pages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Decision-support tools for the consideration stage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Package Pages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8</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Conversion endpoints with pricing and order CTAs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Hub Pages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Cross-pillar geographic landing pages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Utility/Support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Homepage, About, Contact, FAQ, Blog, Legal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Offshore Hub</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International formation services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Checkout Flow</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Multi-step conversion: configure → details → payment → confirm</w:t>
            </w:r>
          </w:p>
        </w:tc>
      </w:tr>
    </w:tbl>
    <w:p>
      <w:pPr>
        <w:pStyle w:val="Heading1"/>
      </w:pPr>
      <w:r>
        <w:t xml:space="preserve">2. Primary Navigation Structure</w:t>
      </w:r>
    </w:p>
    <w:p>
      <w:pPr>
        <w:spacing w:after="160"/>
      </w:pPr>
      <w:r>
        <w:rPr>
          <w:rFonts w:ascii="Arial" w:cs="Arial" w:eastAsia="Arial" w:hAnsi="Arial"/>
          <w:color w:val="334155"/>
          <w:sz w:val="22"/>
          <w:szCs w:val="22"/>
        </w:rPr>
        <w:t xml:space="preserve">The primary navigation replaces the current geography-first structure (United States &gt; Nevada/Wyoming &gt; Services) with an intent-first architecture that matches how visitors think about their needs. The navigation contains four intent-based items matching the pillar structure, plus utility links.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3600"/>
      </w:tblGrid>
      <w:tr>
        <w:trPr>
          <w:tblHeader/>
        </w:trPr>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Nav Position</w:t>
            </w:r>
          </w:p>
        </w:tc>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Mega Menu Content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 (Lead)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8 clusters + 2 comparisons under Privacy pillar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Asset Protection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/asset-protection/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7 clusters + 2 comparisons under AP pillar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Formation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/formation/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7 clusters + 3 comparisons under Formation pillar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Packages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/compare-packages/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8 packages with tier labels (Gold/Silver/Bronze)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About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/about/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About, Contact, Testimonials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Persistent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 Login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/login/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Portal access — always visible in header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Utility Footer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Legal</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Various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 Policy, Terms of Service, FAQ, Blog</w:t>
            </w:r>
          </w:p>
        </w:tc>
      </w:tr>
    </w:tbl>
    <w:p>
      <w:pPr>
        <w:spacing w:after="120"/>
      </w:pPr>
    </w:p>
    <w:p>
      <w:pPr>
        <w:pStyle w:val="Heading2"/>
      </w:pPr>
      <w:r>
        <w:t xml:space="preserve">2.1 Mega Menu Behavior</w:t>
      </w:r>
    </w:p>
    <w:p>
      <w:pPr>
        <w:pStyle w:val="ListParagraph"/>
        <w:numPr>
          <w:ilvl w:val="0"/>
          <w:numId w:val="2"/>
        </w:numPr>
        <w:spacing w:after="80"/>
      </w:pPr>
      <w:r>
        <w:rPr>
          <w:rFonts w:ascii="Arial" w:cs="Arial" w:eastAsia="Arial" w:hAnsi="Arial"/>
          <w:color w:val="334155"/>
          <w:sz w:val="22"/>
          <w:szCs w:val="22"/>
        </w:rPr>
        <w:t xml:space="preserve">Desktop: Hover-triggered mega dropdown showing all clusters organized under their pillar. Each cluster is a direct link. Comparison pages appear as a "Compare" subsection.</w:t>
      </w:r>
    </w:p>
    <w:p>
      <w:pPr>
        <w:pStyle w:val="ListParagraph"/>
        <w:numPr>
          <w:ilvl w:val="0"/>
          <w:numId w:val="2"/>
        </w:numPr>
        <w:spacing w:after="80"/>
      </w:pPr>
      <w:r>
        <w:rPr>
          <w:rFonts w:ascii="Arial" w:cs="Arial" w:eastAsia="Arial" w:hAnsi="Arial"/>
          <w:color w:val="334155"/>
          <w:sz w:val="22"/>
          <w:szCs w:val="22"/>
        </w:rPr>
        <w:t xml:space="preserve">Mobile: Hamburger menu with accordion expand for each pillar. Tap pillar name to expand cluster list. Tap cluster to navigate. Persistent phone number with tap-to-call.</w:t>
      </w:r>
    </w:p>
    <w:p>
      <w:pPr>
        <w:pStyle w:val="ListParagraph"/>
        <w:numPr>
          <w:ilvl w:val="0"/>
          <w:numId w:val="2"/>
        </w:numPr>
        <w:spacing w:after="80"/>
      </w:pPr>
      <w:r>
        <w:rPr>
          <w:rFonts w:ascii="Arial" w:cs="Arial" w:eastAsia="Arial" w:hAnsi="Arial"/>
          <w:color w:val="334155"/>
          <w:sz w:val="22"/>
          <w:szCs w:val="22"/>
        </w:rPr>
        <w:t xml:space="preserve">Breadcrumbs: Present on every cluster, comparison, and package page. Format: Home &gt; Pillar &gt; Current Page.</w:t>
      </w:r>
    </w:p>
    <w:p>
      <w:pPr>
        <w:pStyle w:val="ListParagraph"/>
        <w:numPr>
          <w:ilvl w:val="0"/>
          <w:numId w:val="2"/>
        </w:numPr>
        <w:spacing w:after="80"/>
      </w:pPr>
      <w:r>
        <w:rPr>
          <w:rFonts w:ascii="Arial" w:cs="Arial" w:eastAsia="Arial" w:hAnsi="Arial"/>
          <w:color w:val="334155"/>
          <w:sz w:val="22"/>
          <w:szCs w:val="22"/>
        </w:rPr>
        <w:t xml:space="preserve">Persistent CTA: "Get Started" or "Schedule Consultation" button visible on all viewports.</w:t>
      </w:r>
    </w:p>
    <w:p>
      <w:pPr>
        <w:pStyle w:val="Heading1"/>
      </w:pPr>
      <w:r>
        <w:t xml:space="preserve">3. URL Strategy</w:t>
      </w:r>
    </w:p>
    <w:p>
      <w:pPr>
        <w:spacing w:after="160"/>
      </w:pPr>
      <w:r>
        <w:rPr>
          <w:rFonts w:ascii="Arial" w:cs="Arial" w:eastAsia="Arial" w:hAnsi="Arial"/>
          <w:color w:val="334155"/>
          <w:sz w:val="22"/>
          <w:szCs w:val="22"/>
        </w:rPr>
        <w:t xml:space="preserve">All URLs use a flat structure with no deep directory hierarchy. The pillar/cluster hierarchy is established entirely through internal linking, not URL paths. This keeps URLs clean, shareable, and future-proof — pages can be reorganized between pillars without breaking URLs.</w:t>
      </w:r>
    </w:p>
    <w:p>
      <w:pPr>
        <w:spacing w:after="80"/>
      </w:pPr>
    </w:p>
    <w:p>
      <w:pPr>
        <w:pStyle w:val="ListParagraph"/>
        <w:numPr>
          <w:ilvl w:val="0"/>
          <w:numId w:val="2"/>
        </w:numPr>
        <w:spacing w:after="80"/>
      </w:pPr>
      <w:r>
        <w:rPr>
          <w:rFonts w:ascii="Arial" w:cs="Arial" w:eastAsia="Arial" w:hAnsi="Arial"/>
          <w:color w:val="334155"/>
          <w:sz w:val="22"/>
          <w:szCs w:val="22"/>
        </w:rPr>
        <w:t xml:space="preserve">Pattern: /descriptive-slug/ (e.g., /wyoming-private-incorporation/ not /services/wyoming/private-incorporation/)</w:t>
      </w:r>
    </w:p>
    <w:p>
      <w:pPr>
        <w:pStyle w:val="ListParagraph"/>
        <w:numPr>
          <w:ilvl w:val="0"/>
          <w:numId w:val="2"/>
        </w:numPr>
        <w:spacing w:after="80"/>
      </w:pPr>
      <w:r>
        <w:rPr>
          <w:rFonts w:ascii="Arial" w:cs="Arial" w:eastAsia="Arial" w:hAnsi="Arial"/>
          <w:color w:val="334155"/>
          <w:sz w:val="22"/>
          <w:szCs w:val="22"/>
        </w:rPr>
        <w:t xml:space="preserve">Exception: Offshore pages retain /offshore/ prefix for content grouping (e.g., /offshore/nevis/)</w:t>
      </w:r>
    </w:p>
    <w:p>
      <w:pPr>
        <w:pStyle w:val="ListParagraph"/>
        <w:numPr>
          <w:ilvl w:val="0"/>
          <w:numId w:val="2"/>
        </w:numPr>
        <w:spacing w:after="80"/>
      </w:pPr>
      <w:r>
        <w:rPr>
          <w:rFonts w:ascii="Arial" w:cs="Arial" w:eastAsia="Arial" w:hAnsi="Arial"/>
          <w:color w:val="334155"/>
          <w:sz w:val="22"/>
          <w:szCs w:val="22"/>
        </w:rPr>
        <w:t xml:space="preserve">Exception: Checkout flow uses /checkout/ prefix (e.g., /checkout/configure/)</w:t>
      </w:r>
    </w:p>
    <w:p>
      <w:pPr>
        <w:pStyle w:val="ListParagraph"/>
        <w:numPr>
          <w:ilvl w:val="0"/>
          <w:numId w:val="2"/>
        </w:numPr>
        <w:spacing w:after="80"/>
      </w:pPr>
      <w:r>
        <w:rPr>
          <w:rFonts w:ascii="Arial" w:cs="Arial" w:eastAsia="Arial" w:hAnsi="Arial"/>
          <w:color w:val="334155"/>
          <w:sz w:val="22"/>
          <w:szCs w:val="22"/>
        </w:rPr>
        <w:t xml:space="preserve">Trailing slashes: Enforced consistently with server-level normalization</w:t>
      </w:r>
    </w:p>
    <w:p>
      <w:pPr>
        <w:pStyle w:val="ListParagraph"/>
        <w:numPr>
          <w:ilvl w:val="0"/>
          <w:numId w:val="2"/>
        </w:numPr>
        <w:spacing w:after="80"/>
      </w:pPr>
      <w:r>
        <w:rPr>
          <w:rFonts w:ascii="Arial" w:cs="Arial" w:eastAsia="Arial" w:hAnsi="Arial"/>
          <w:color w:val="334155"/>
          <w:sz w:val="22"/>
          <w:szCs w:val="22"/>
        </w:rPr>
        <w:t xml:space="preserve">Canonicals: Self-referencing canonical tag on every page to prevent duplicate content issues</w:t>
      </w:r>
    </w:p>
    <w:p>
      <w:r>
        <w:br w:type="page"/>
      </w:r>
    </w:p>
    <w:p>
      <w:pPr>
        <w:pStyle w:val="Heading1"/>
      </w:pPr>
      <w:r>
        <w:t xml:space="preserve">4. Pillar Architecture — Page-by-Page Inventory</w:t>
      </w:r>
    </w:p>
    <w:p>
      <w:pPr>
        <w:pStyle w:val="Heading2"/>
      </w:pPr>
      <w:r>
        <w:t xml:space="preserve">4.1 Pillar 1: Business Privacy (Lead Pillar)</w:t>
      </w:r>
    </w:p>
    <w:p>
      <w:pPr>
        <w:spacing w:after="160"/>
      </w:pPr>
      <w:r>
        <w:rPr>
          <w:rFonts w:ascii="Arial" w:cs="Arial" w:eastAsia="Arial" w:hAnsi="Arial"/>
          <w:color w:val="334155"/>
          <w:sz w:val="22"/>
          <w:szCs w:val="22"/>
        </w:rPr>
        <w:t xml:space="preserve">Hub URL: /privacy/ — 11 pages total. Privacy is the lead pillar because it represents Incorporate123’s strongest competitive differentiation (year-round nominees, offshore records), targets the highest-value keyword opportunities (5,500–9,500 monthly searches for anonymous LLC terms), and aligns with the premium pricing that justifies Gold packages at $1,275–$2,100.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Business 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Anonymous LLC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/anonymous-llc/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Anonymous 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/anonymous-corporation/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Nominee Services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/nominee-services/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Wyoming 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Nevada Privacy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/nevada-privacy/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California Private Inc.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/california-private-incorporation/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reorganize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Florida Private Inc.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/florida-private-incorporation/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reorganize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BOI Reporting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/beneficial-ownership-reporting/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Best State for Privacy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/best-state-for-privacy/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 vs NV for 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/wyoming-vs-nevada-privacy/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bl>
    <w:p>
      <w:pPr>
        <w:spacing w:after="200"/>
      </w:pPr>
    </w:p>
    <w:p>
      <w:pPr>
        <w:pStyle w:val="Heading2"/>
      </w:pPr>
      <w:r>
        <w:t xml:space="preserve">4.2 Pillar 2: Asset Protection</w:t>
      </w:r>
    </w:p>
    <w:p>
      <w:pPr>
        <w:spacing w:after="160"/>
      </w:pPr>
      <w:r>
        <w:rPr>
          <w:rFonts w:ascii="Arial" w:cs="Arial" w:eastAsia="Arial" w:hAnsi="Arial"/>
          <w:color w:val="334155"/>
          <w:sz w:val="22"/>
          <w:szCs w:val="22"/>
        </w:rPr>
        <w:t xml:space="preserve">Hub URL: /asset-protection/ — 9 pages total. Asset Protection educates on the critical distinction between privacy (protects identity) and asset protection (protects wealth), creating natural 30–40% cross-sell opportunities to the Privacy pillar.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Asset Protection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/asset-protection/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Nevada Asset 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/nevada-asset-protection/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reorganize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Wyoming Asset Protection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/wyoming-asset-protection/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reorganize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Charging Order 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/charging-order-protection/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 LC content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Investment Holding 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/investment-holding-llc/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Real Estate Asset 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/real-estate-asset-protection/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LLC vs Living Trust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/llc-vs-living-trust/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Best State for AP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/best-state-asset-protection/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 vs NV for AP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/wyoming-vs-nevada-asset-protection/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bl>
    <w:p>
      <w:r>
        <w:br w:type="page"/>
      </w:r>
    </w:p>
    <w:p>
      <w:pPr>
        <w:pStyle w:val="Heading2"/>
      </w:pPr>
      <w:r>
        <w:t xml:space="preserve">4.3 Pillar 3: Company Formation</w:t>
      </w:r>
    </w:p>
    <w:p>
      <w:pPr>
        <w:spacing w:after="160"/>
      </w:pPr>
      <w:r>
        <w:rPr>
          <w:rFonts w:ascii="Arial" w:cs="Arial" w:eastAsia="Arial" w:hAnsi="Arial"/>
          <w:color w:val="334155"/>
          <w:sz w:val="22"/>
          <w:szCs w:val="22"/>
        </w:rPr>
        <w:t xml:space="preserve">Hub URL: /formation/ — 10 pages total. Rather than competing on price against $0 providers, this pillar emphasizes what’s included in Incorporate123’s bundled packages and serves as the entry point for educating visitors about privacy benefits, driving 40%+ upgrade potential from Silver to Gold.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Company Formation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/formation/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Wyoming LLC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/wyoming-llc/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Nevada 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/nevada-llc/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split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Wyoming 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/wyoming-corporation/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Nevada 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/nevada-corporation/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split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Shelf Companies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/shelf-companies/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Series 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/series-llc/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LLC vs 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/llc-vs-corporation/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 vs NV Formation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/wyoming-vs-nevada/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Shelf vs New Entity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/shelf-company-vs-new/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bl>
    <w:p>
      <w:pPr>
        <w:spacing w:after="200"/>
      </w:pPr>
    </w:p>
    <w:p>
      <w:pPr>
        <w:pStyle w:val="Heading2"/>
      </w:pPr>
      <w:r>
        <w:t xml:space="preserve">4.4 Pillar 4: Compliance</w:t>
      </w:r>
    </w:p>
    <w:p>
      <w:pPr>
        <w:spacing w:after="160"/>
      </w:pPr>
      <w:r>
        <w:rPr>
          <w:rFonts w:ascii="Arial" w:cs="Arial" w:eastAsia="Arial" w:hAnsi="Arial"/>
          <w:color w:val="334155"/>
          <w:sz w:val="22"/>
          <w:szCs w:val="22"/>
        </w:rPr>
        <w:t xml:space="preserve">Hub URL: /compliance/ — 7 pages total. Post-formation support and ongoing compliance. Differentiates Incorporate123’s year-round registered agent, annual report filing, and corporate minute maintenance from competitors’ minimal service offerings.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9333EA"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9333E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9333EA"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9333E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9333EA"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Compliance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/compliance/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Registered Agent Services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/registered-agent/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Wyoming Registered Agent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/wyoming-registered-agent/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Nevada Registered Agent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/nevada-registered-agent/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Annual Reports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/annual-reports/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Foreign State Registration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/foreign-state-registration/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Domestication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Cluster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/domestication/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bl>
    <w:p>
      <w:r>
        <w:br w:type="page"/>
      </w:r>
    </w:p>
    <w:p>
      <w:pPr>
        <w:pStyle w:val="Heading1"/>
      </w:pPr>
      <w:r>
        <w:t xml:space="preserve">5. Supporting Page Groups</w:t>
      </w:r>
    </w:p>
    <w:p>
      <w:pPr>
        <w:pStyle w:val="Heading2"/>
      </w:pPr>
      <w:r>
        <w:t xml:space="preserve">5.1 Package Pages — 8 Conversion Endpoints</w:t>
      </w:r>
    </w:p>
    <w:p>
      <w:pPr>
        <w:spacing w:after="160"/>
      </w:pPr>
      <w:r>
        <w:rPr>
          <w:rFonts w:ascii="Arial" w:cs="Arial" w:eastAsia="Arial" w:hAnsi="Arial"/>
          <w:color w:val="334155"/>
          <w:sz w:val="22"/>
          <w:szCs w:val="22"/>
        </w:rPr>
        <w:t xml:space="preserve">Package pages are the primary conversion destinations. Each features a 3-tier pricing comparison (Bronze/Silver/Gold), tooltip interactions, add-on configurator, LLC/Corp toggle, and dual CTAs (Start Now / Schedule Consultation).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Wyoming Gold (Private)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Package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/wyoming-private-incorporation/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Wyoming Silver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Package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/wyoming-incorporation/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Nevada Gold (Private)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Package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/nevada-private-incorporation/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Nevada Silver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Package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/nevada-incorporation/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Nevada Bronze (Basic)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Package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/nevada-basic-incorporation/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California Private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State Pkg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/california-private-incorporation/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Florida Private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Pkg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/florida-private-incorporation/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Shelf Companies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Specialty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/shelf-companies/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bl>
    <w:p>
      <w:pPr>
        <w:spacing w:after="200"/>
      </w:pPr>
    </w:p>
    <w:p>
      <w:pPr>
        <w:pStyle w:val="Heading2"/>
      </w:pPr>
      <w:r>
        <w:t xml:space="preserve">5.2 State Hub Pages — 4 Cross-Pillar Hubs</w:t>
      </w:r>
    </w:p>
    <w:p>
      <w:pPr>
        <w:spacing w:after="160"/>
      </w:pPr>
      <w:r>
        <w:rPr>
          <w:rFonts w:ascii="Arial" w:cs="Arial" w:eastAsia="Arial" w:hAnsi="Arial"/>
          <w:color w:val="334155"/>
          <w:sz w:val="22"/>
          <w:szCs w:val="22"/>
        </w:rPr>
        <w:t xml:space="preserve">State hubs aggregate all content for a given state across all four pillars. They serve geographic search intent (e.g., “Wyoming LLC”, “Nevada incorporation”) and provide a single entry point linking to privacy, asset protection, formation, and compliance content for that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06B6D4"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06B6D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06B6D4"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06B6D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6B6D4"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Wyoming Hub</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/wyoming/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Nevada Hub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State Hub</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/nevada/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California Hub</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/california/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Florida Hub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State Hub</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/florida/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creation</w:t>
            </w:r>
          </w:p>
        </w:tc>
      </w:tr>
    </w:tbl>
    <w:p>
      <w:pPr>
        <w:spacing w:after="200"/>
      </w:pPr>
    </w:p>
    <w:p>
      <w:pPr>
        <w:pStyle w:val="Heading2"/>
      </w:pPr>
      <w:r>
        <w:t xml:space="preserve">5.3 Utility &amp; Support Pages — 10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Homepage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Homepage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About Us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Utility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/about/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Contact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Utility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/contact/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FAQ Hub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Resource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/faq/</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 (consolidates 188 LC items)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Blog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Content Hub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/blog/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P2 Expansion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creation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Compare All Packages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Comparison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/compare-packages/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Testimonials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Social Proof</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/testimonials/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enhance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Client Login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Portal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/login/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Privacy Policy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Legal</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/privacy-policy/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Terms of Service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Legal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/terms/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bl>
    <w:p>
      <w:r>
        <w:br w:type="page"/>
      </w:r>
    </w:p>
    <w:p>
      <w:pPr>
        <w:pStyle w:val="Heading2"/>
      </w:pPr>
      <w:r>
        <w:t xml:space="preserve">5.4 Offshore Hub — 6 Pages</w:t>
      </w:r>
    </w:p>
    <w:p>
      <w:pPr>
        <w:spacing w:after="160"/>
      </w:pPr>
      <w:r>
        <w:rPr>
          <w:rFonts w:ascii="Arial" w:cs="Arial" w:eastAsia="Arial" w:hAnsi="Arial"/>
          <w:color w:val="334155"/>
          <w:sz w:val="22"/>
          <w:szCs w:val="22"/>
        </w:rPr>
        <w:t xml:space="preserve">Retained for SEO authority, de-emphasized in primary navigation. Offshore pages use a /offshore/ prefix as the one exception to the flat URL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Offshore Hub</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Hub Page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/offshore/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Nevis LLC/Corp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Offshore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/offshore/nevis/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BVI Company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Offshore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/offshore/bvi/</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Panama Foundation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Offshore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/offshore/panama/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Hong Kong Company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Offshore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/offshore/hong-kong/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IRS Compliance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Offshore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/offshore/irs-compliance/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preserve</w:t>
            </w:r>
          </w:p>
        </w:tc>
      </w:tr>
    </w:tbl>
    <w:p>
      <w:pPr>
        <w:spacing w:after="200"/>
      </w:pPr>
    </w:p>
    <w:p>
      <w:pPr>
        <w:pStyle w:val="Heading2"/>
      </w:pPr>
      <w:r>
        <w:t xml:space="preserve">5.5 Checkout Flow — 4 Steps</w:t>
      </w:r>
    </w:p>
    <w:p>
      <w:pPr>
        <w:spacing w:after="160"/>
      </w:pPr>
      <w:r>
        <w:rPr>
          <w:rFonts w:ascii="Arial" w:cs="Arial" w:eastAsia="Arial" w:hAnsi="Arial"/>
          <w:color w:val="334155"/>
          <w:sz w:val="22"/>
          <w:szCs w:val="22"/>
        </w:rPr>
        <w:t xml:space="preserve">A multi-step conversion flow with progress indicator, form validation, and order summary persistence across steps. The checkout flow is the same for all packages, with the initial configuration step dynamically populated based on the package selected.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1200"/>
        <w:gridCol w:w="2200"/>
      </w:tblGrid>
      <w:tr>
        <w:trPr>
          <w:tblHeader/>
        </w:trPr>
        <w:tc>
          <w:tcPr>
            <w:tcW w:type="dxa" w:w="2400"/>
            <w:tcBorders>
              <w:top w:val="single" w:color="E2E8F0" w:sz="1"/>
              <w:left w:val="single" w:color="E2E8F0" w:sz="1"/>
              <w:bottom w:val="single" w:color="E2E8F0" w:sz="1"/>
              <w:right w:val="single" w:color="E2E8F0" w:sz="1"/>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1200"/>
            <w:tcBorders>
              <w:top w:val="single" w:color="E2E8F0" w:sz="1"/>
              <w:left w:val="single" w:color="E2E8F0" w:sz="1"/>
              <w:bottom w:val="single" w:color="E2E8F0" w:sz="1"/>
              <w:right w:val="single" w:color="E2E8F0" w:sz="1"/>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60"/>
            <w:tcBorders>
              <w:top w:val="single" w:color="E2E8F0" w:sz="1"/>
              <w:left w:val="single" w:color="E2E8F0" w:sz="1"/>
              <w:bottom w:val="single" w:color="E2E8F0" w:sz="1"/>
              <w:right w:val="single" w:color="E2E8F0" w:sz="1"/>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200"/>
            <w:tcBorders>
              <w:top w:val="single" w:color="E2E8F0" w:sz="1"/>
              <w:left w:val="single" w:color="E2E8F0" w:sz="1"/>
              <w:bottom w:val="single" w:color="E2E8F0" w:sz="1"/>
              <w:right w:val="single" w:color="E2E8F0" w:sz="1"/>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Content 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Step 1: Package Config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Checkout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/checkout/configure/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Step 2: Entity Details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Checkout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/checkout/details/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Step 3: Payment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Checkout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7"/>
                <w:szCs w:val="17"/>
              </w:rPr>
              <w:t xml:space="preserve">/checkout/payment/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Step 4: Confirmation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Checkout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7"/>
                <w:szCs w:val="17"/>
              </w:rPr>
              <w:t xml:space="preserve">/checkout/confirmation/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P1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 redesign</w:t>
            </w:r>
          </w:p>
        </w:tc>
      </w:tr>
    </w:tbl>
    <w:p>
      <w:pPr>
        <w:pStyle w:val="Heading1"/>
      </w:pPr>
      <w:r>
        <w:t xml:space="preserve">6. Internal Linking Strategy</w:t>
      </w:r>
    </w:p>
    <w:p>
      <w:pPr>
        <w:spacing w:after="160"/>
      </w:pPr>
      <w:r>
        <w:rPr>
          <w:rFonts w:ascii="Arial" w:cs="Arial" w:eastAsia="Arial" w:hAnsi="Arial"/>
          <w:color w:val="334155"/>
          <w:sz w:val="22"/>
          <w:szCs w:val="22"/>
        </w:rPr>
        <w:t xml:space="preserve">The pillar/cluster hierarchy is established through internal linking, not URL structure. All URLs are flat (no directory nesting) to keep them clean, shareable, and resilient to structural changes. The following table defines the linking rules for each page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From Page Type</w:t>
            </w:r>
          </w:p>
        </w:tc>
        <w:tc>
          <w:tcPr>
            <w:tcW w:type="dxa" w:w="4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Links To</w:t>
            </w:r>
          </w:p>
        </w:tc>
        <w:tc>
          <w:tcPr>
            <w:tcW w:type="dxa" w:w="2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Link Placement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Pillar Pages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related clusters + comparison pages + relevant packages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In-content links, sidebar nav, bottom CTAs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Cluster Pages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Parent pillar + sibling clusters + relevant comparison + package</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Breadcrumb, sidebar, in-content, bottom CTA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Comparison Pages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Parent pillar + compared packages (dual CTAs)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In-content links, CTA buttons per option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Package Pages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Related packages (“Also consider…”) + parent pillar</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Sidebar, comparison strip, trust section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State Hubs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content for that state across all 4 pillars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Organized by pillar with direct links to each</w:t>
            </w:r>
          </w:p>
        </w:tc>
      </w:tr>
    </w:tbl>
    <w:p>
      <w:pPr>
        <w:spacing w:after="120"/>
      </w:pPr>
    </w:p>
    <w:p>
      <w:pPr>
        <w:pStyle w:val="Heading2"/>
      </w:pPr>
      <w:r>
        <w:t xml:space="preserve">6.1 Cross-Pillar Linking</w:t>
      </w:r>
    </w:p>
    <w:p>
      <w:pPr>
        <w:spacing w:after="160"/>
      </w:pPr>
      <w:r>
        <w:rPr>
          <w:rFonts w:ascii="Arial" w:cs="Arial" w:eastAsia="Arial" w:hAnsi="Arial"/>
          <w:color w:val="334155"/>
          <w:sz w:val="22"/>
          <w:szCs w:val="22"/>
        </w:rPr>
        <w:t xml:space="preserve">14 pages in the architecture serve multiple pillars simultaneously. These pages are the connective tissue preventing four disconnected silos. Contextual CTAs surface cross-pillar content at the natural decision point where visitors think “what else should I consider?”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2400"/>
      </w:tblGrid>
      <w:tr>
        <w:trPr>
          <w:tblHeader/>
        </w:trP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Cross-Pillar Link</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CTA Messaging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Highest-value upsell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Asset Protection clusters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 pillar / Nominee Services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“Hiding ownership is your first line of defense”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Formation upsell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Formation clusters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Privacy pillar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“70% of clients add nominee services”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 → AP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Privacy clusters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Asset Protection pillar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“Protect your assets, not just your identity”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 capture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pillar pages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 pillar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“Already have an entity? We handle compliance”</w:t>
            </w:r>
          </w:p>
        </w:tc>
      </w:tr>
    </w:tbl>
    <w:p>
      <w:pPr>
        <w:pStyle w:val="Heading1"/>
      </w:pPr>
      <w:r>
        <w:t xml:space="preserve">7. Launch Priority Phasing</w:t>
      </w:r>
    </w:p>
    <w:p>
      <w:pPr>
        <w:spacing w:after="160"/>
      </w:pPr>
      <w:r>
        <w:rPr>
          <w:rFonts w:ascii="Arial" w:cs="Arial" w:eastAsia="Arial" w:hAnsi="Arial"/>
          <w:color w:val="334155"/>
          <w:sz w:val="22"/>
          <w:szCs w:val="22"/>
        </w:rPr>
        <w:t xml:space="preserve">Pages are phased into two priority groups. P1 pages must be live at launch to maintain the pillar/cluster SEO structure. P2 pages can launch shortly after go-live without breaking the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560"/>
        <w:gridCol w:w="1800"/>
      </w:tblGrid>
      <w:tr>
        <w:trPr>
          <w:tblHeader/>
        </w:trP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Page Count</w:t>
            </w:r>
          </w:p>
        </w:tc>
        <w:tc>
          <w:tcPr>
            <w:tcW w:type="dxa" w:w="4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Includes</w:t>
            </w:r>
          </w:p>
        </w:tc>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P1 — Launch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~54 pages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pillar hubs, primary clusters, key comparisons, all packages, WY/NV state hubs, all utility, all offshore, checkout flow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At launch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P2 — Expansion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~17 pages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Secondary clusters (Anon Corp, BOI, Investment Holding, Real Estate AP, etc.), CA/FL state hubs, Blog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Shortly post-launch</w:t>
            </w:r>
          </w:p>
        </w:tc>
      </w:tr>
    </w:tbl>
    <w:p>
      <w:pPr>
        <w:spacing w:after="200"/>
      </w:pPr>
    </w:p>
    <w:p>
      <w:pPr>
        <w:pBdr>
          <w:top w:val="single" w:color="1E3A5F" w:sz="4" w:space="8"/>
        </w:pBdr>
        <w:spacing w:before="200" w:after="120"/>
      </w:pPr>
      <w:r>
        <w:rPr>
          <w:rFonts w:ascii="Arial" w:cs="Arial" w:eastAsia="Arial" w:hAnsi="Arial"/>
          <w:i/>
          <w:iCs/>
          <w:color w:val="64748B"/>
          <w:sz w:val="20"/>
          <w:szCs w:val="20"/>
        </w:rPr>
        <w:t xml:space="preserve">This document is confidential and intended for Incorporate123 and BIT Studios project team members only. Architecture is pending client approval before UX prototyping begins.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64748B"/>
        <w:sz w:val="16"/>
        <w:szCs w:val="16"/>
      </w:rPr>
      <w:t xml:space="preserve">Incorporate123 — Information Architecture</w:t>
    </w:r>
    <w:r>
      <w:rPr>
        <w:rFonts w:ascii="Arial" w:cs="Arial" w:eastAsia="Arial" w:hAnsi="Arial"/>
        <w:color w:val="64748B"/>
        <w:sz w:val="16"/>
        <w:szCs w:val="16"/>
      </w:rPr>
      <w:ptab w:alignment="right" w:relativeTo="margin" w:leader="none"/>
    </w:r>
    <w:r>
      <w:rPr>
        <w:rFonts w:ascii="Arial" w:cs="Arial" w:eastAsia="Arial" w:hAnsi="Arial"/>
        <w:color w:val="64748B"/>
        <w:sz w:val="16"/>
        <w:szCs w:val="16"/>
      </w:rPr>
      <w:t xml:space="preserve">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2026-03-02T23:39:14.924Z</dcterms:created>
  <dcterms:modified xsi:type="dcterms:W3CDTF">2026-03-02T23:39:14.925Z</dcterms:modified>
</cp:coreProperties>
</file>

<file path=docProps/custom.xml><?xml version="1.0" encoding="utf-8"?>
<Properties xmlns="http://schemas.openxmlformats.org/officeDocument/2006/custom-properties" xmlns:vt="http://schemas.openxmlformats.org/officeDocument/2006/docPropsVTypes"/>
</file>