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2E5090"/>
          <w:sz w:val="48"/>
          <w:szCs w:val="48"/>
        </w:rPr>
        <w:t xml:space="preserve">USER JOURNEY MAPPING</w:t>
      </w:r>
    </w:p>
    <w:p>
      <w:pPr>
        <w:spacing w:before="200"/>
        <w:jc w:val="center"/>
      </w:pPr>
      <w:r>
        <w:rPr>
          <w:rFonts w:ascii="Arial" w:cs="Arial" w:eastAsia="Arial" w:hAnsi="Arial"/>
          <w:color w:val="555555"/>
          <w:sz w:val="28"/>
          <w:szCs w:val="28"/>
        </w:rPr>
        <w:t xml:space="preserve">Incorporate123 Website Redesign</w:t>
      </w:r>
    </w:p>
    <w:p>
      <w:pPr>
        <w:spacing w:before="400"/>
        <w:jc w:val="center"/>
      </w:pPr>
      <w:r>
        <w:rPr>
          <w:rFonts w:ascii="Arial" w:cs="Arial" w:eastAsia="Arial" w:hAnsi="Arial"/>
          <w:color w:val="666666"/>
          <w:sz w:val="22"/>
          <w:szCs w:val="22"/>
        </w:rPr>
        <w:t xml:space="preserve">Task 4.4 — Discovery &amp; Strategy Phase</w:t>
      </w:r>
    </w:p>
    <w:p>
      <w:pPr>
        <w:spacing w:before="120"/>
        <w:jc w:val="center"/>
      </w:pPr>
      <w:r>
        <w:rPr>
          <w:rFonts w:ascii="Arial" w:cs="Arial" w:eastAsia="Arial" w:hAnsi="Arial"/>
          <w:i/>
          <w:iCs/>
          <w:color w:val="666666"/>
          <w:sz w:val="22"/>
          <w:szCs w:val="22"/>
        </w:rPr>
        <w:t xml:space="preserve">Primary paths from search intent through package conversion</w:t>
      </w:r>
    </w:p>
    <w:p>
      <w:pPr>
        <w:spacing w:before="600"/>
        <w:jc w:val="center"/>
      </w:pPr>
      <w:r>
        <w:rPr>
          <w:rFonts w:ascii="Arial" w:cs="Arial" w:eastAsia="Arial" w:hAnsi="Arial"/>
          <w:color w:val="666666"/>
          <w:sz w:val="22"/>
          <w:szCs w:val="22"/>
        </w:rPr>
        <w:t xml:space="preserve">Prepared by: </w:t>
      </w:r>
      <w:r>
        <w:rPr>
          <w:rFonts w:ascii="Arial" w:cs="Arial" w:eastAsia="Arial" w:hAnsi="Arial"/>
          <w:b/>
          <w:bCs/>
          <w:color w:val="2E5090"/>
          <w:sz w:val="22"/>
          <w:szCs w:val="22"/>
        </w:rPr>
        <w:t xml:space="preserve">BIT Studios</w:t>
      </w:r>
    </w:p>
    <w:p>
      <w:pPr>
        <w:spacing w:before="80"/>
        <w:jc w:val="center"/>
      </w:pPr>
      <w:r>
        <w:rPr>
          <w:rFonts w:ascii="Arial" w:cs="Arial" w:eastAsia="Arial" w:hAnsi="Arial"/>
          <w:color w:val="666666"/>
          <w:sz w:val="22"/>
          <w:szCs w:val="22"/>
        </w:rPr>
        <w:t xml:space="preserve">March 2026</w:t>
      </w:r>
    </w:p>
    <w:p>
      <w:pPr>
        <w:pageBreakBefore/>
      </w:pPr>
      <w:r>
        <w:br/>
      </w:r>
    </w:p>
    <w:p>
      <w:pPr>
        <w:pStyle w:val="Heading1"/>
        <w:spacing w:after="80" w:before="120"/>
      </w:pPr>
      <w:r>
        <w:t xml:space="preserve">1. Primary Conversion Framework</w:t>
      </w:r>
    </w:p>
    <w:p>
      <w:pPr>
        <w:spacing w:after="120"/>
      </w:pPr>
      <w:r>
        <w:rPr>
          <w:rFonts w:ascii="Arial" w:cs="Arial" w:eastAsia="Arial" w:hAnsi="Arial"/>
          <w:color w:val="333333"/>
          <w:sz w:val="22"/>
          <w:szCs w:val="22"/>
        </w:rPr>
        <w:t xml:space="preserve">Every visitor journey through the new Incorporate123 site architecture follows a five-stage conversion funnel. The visitor's intent determines which pillar they enter, but the stage progression is consistent: educate, deepen, compare, evaluate, convert.</w:t>
      </w:r>
    </w:p>
    <w:p>
      <w:pPr>
        <w:spacing w:after="120"/>
      </w:pPr>
      <w:r>
        <w:rPr>
          <w:rFonts w:ascii="Arial" w:cs="Arial" w:eastAsia="Arial" w:hAnsi="Arial"/>
          <w:color w:val="333333"/>
          <w:sz w:val="22"/>
          <w:szCs w:val="22"/>
        </w:rPr>
        <w:t xml:space="preserve"/>
      </w:r>
      <w:r>
        <w:rPr>
          <w:rFonts w:ascii="Arial" w:cs="Arial" w:eastAsia="Arial" w:hAnsi="Arial"/>
          <w:b/>
          <w:bCs/>
          <w:sz w:val="22"/>
          <w:szCs w:val="22"/>
        </w:rPr>
        <w:t xml:space="preserve">Universal Funnel:</w:t>
      </w:r>
      <w:r>
        <w:rPr>
          <w:rFonts w:ascii="Arial" w:cs="Arial" w:eastAsia="Arial" w:hAnsi="Arial"/>
          <w:color w:val="333333"/>
          <w:sz w:val="22"/>
          <w:szCs w:val="22"/>
        </w:rPr>
        <w:t xml:space="preserve"> Search Intent → Pillar Page (Education) → Cluster Page (Specifics) → Comparison Page (Decision) → Package Page (Conversion) → Checkout</w:t>
      </w:r>
    </w:p>
    <w:p>
      <w:pPr>
        <w:pBdr>
          <w:left w:val="single" w:color="2E5090" w:sz="8"/>
        </w:pBdr>
        <w:shd w:fill="D6E4F0" w:val="clear"/>
        <w:spacing w:after="120" w:before="120"/>
        <w:ind w:left="360" w:right="360"/>
      </w:pPr>
      <w:r>
        <w:rPr>
          <w:rFonts w:ascii="Arial" w:cs="Arial" w:eastAsia="Arial" w:hAnsi="Arial"/>
          <w:i/>
          <w:iCs/>
          <w:color w:val="333333"/>
          <w:sz w:val="21"/>
          <w:szCs w:val="21"/>
        </w:rPr>
        <w:t xml:space="preserve">Design Principle: Not every visitor follows all five stages. The architecture must support both linear progression (researcher who reads everything) and stage-skipping (buyer who knows what they want and jumps to packages). Every page must offer both a 'learn more' path downward and a 'ready to buy' shortcut.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960"/>
      </w:tblGrid>
      <w:tr>
        <w:tc>
          <w:tcPr>
            <w:tcW w:type="dxa" w:w="1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Page Types</w:t>
            </w:r>
          </w:p>
        </w:tc>
        <w:tc>
          <w:tcPr>
            <w:tcW w:type="dxa" w:w="2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Visitor Mindset</w:t>
            </w:r>
          </w:p>
        </w:tc>
        <w:tc>
          <w:tcPr>
            <w:tcW w:type="dxa" w:w="29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Primary Goal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Intent Landing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Homepage, Pillar pages, State hubs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 have a problem — do you solve it?"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Validate relevance, build trust, orient to correct path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Deep Education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Cluster pages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"Tell me exactly how this works"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Build authority, answer questions, surface related topics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 Decision Support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Comparison pages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"Which option is right for me?"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Help visitor self-select state/entity/package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 Package Evaluation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Package detail pages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"What do I get and what does it cost?"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Present value, differentiate tiers, drive add-ons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Conversion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Checkout flow (3-4 steps)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"Let's do this"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Minimize friction, complete purchase</w:t>
            </w:r>
          </w:p>
        </w:tc>
      </w:tr>
    </w:tbl>
    <w:p>
      <w:pPr>
        <w:pageBreakBefore/>
      </w:pPr>
      <w:r>
        <w:br/>
      </w:r>
    </w:p>
    <w:p>
      <w:pPr>
        <w:pStyle w:val="Heading1"/>
        <w:spacing w:after="80" w:before="120"/>
      </w:pPr>
      <w:r>
        <w:t xml:space="preserve">2. Privacy-Focused Journey</w:t>
      </w:r>
    </w:p>
    <w:p>
      <w:pPr>
        <w:spacing w:after="120"/>
      </w:pPr>
      <w:r>
        <w:rPr>
          <w:rFonts w:ascii="Arial" w:cs="Arial" w:eastAsia="Arial" w:hAnsi="Arial"/>
          <w:color w:val="333333"/>
          <w:sz w:val="22"/>
          <w:szCs w:val="22"/>
        </w:rPr>
        <w:t xml:space="preserve">The highest-value conversion path. Privacy seekers are the primary target audience — they prioritize anonymity, understand the value of proper structuring, and convert to Gold packages ($1,275–$2,100). This is the journey the entire site architecture is optimized around.</w:t>
      </w:r>
    </w:p>
    <w:p>
      <w:pPr>
        <w:pStyle w:val="Heading2"/>
        <w:spacing w:after="80" w:before="120"/>
      </w:pPr>
      <w:r>
        <w:t xml:space="preserve">2a. Journey A: The Privacy Researcher</w:t>
      </w:r>
    </w:p>
    <w:p>
      <w:pPr>
        <w:spacing w:after="120"/>
      </w:pPr>
      <w:r>
        <w:rPr>
          <w:rFonts w:ascii="Arial" w:cs="Arial" w:eastAsia="Arial" w:hAnsi="Arial"/>
          <w:color w:val="333333"/>
          <w:sz w:val="22"/>
          <w:szCs w:val="22"/>
        </w:rPr>
        <w:t xml:space="preserve"/>
      </w:r>
      <w:r>
        <w:rPr>
          <w:rFonts w:ascii="Arial" w:cs="Arial" w:eastAsia="Arial" w:hAnsi="Arial"/>
          <w:b/>
          <w:bCs/>
          <w:sz w:val="22"/>
          <w:szCs w:val="22"/>
        </w:rPr>
        <w:t xml:space="preserve">Persona:</w:t>
      </w:r>
      <w:r>
        <w:rPr>
          <w:rFonts w:ascii="Arial" w:cs="Arial" w:eastAsia="Arial" w:hAnsi="Arial"/>
          <w:color w:val="333333"/>
          <w:sz w:val="22"/>
          <w:szCs w:val="22"/>
        </w:rPr>
        <w:t xml:space="preserve"> Small business owner with $500K+ assets. Heard about anonymous LLCs, wants to understand options before committing. Will read detailed content. Willing to pay premium for genuine privacy.</w:t>
      </w:r>
    </w:p>
    <w:p>
      <w:pPr>
        <w:spacing w:after="120"/>
      </w:pPr>
      <w:r>
        <w:rPr>
          <w:rFonts w:ascii="Arial" w:cs="Arial" w:eastAsia="Arial" w:hAnsi="Arial"/>
          <w:color w:val="333333"/>
          <w:sz w:val="22"/>
          <w:szCs w:val="22"/>
        </w:rPr>
        <w:t xml:space="preserve"/>
      </w:r>
      <w:r>
        <w:rPr>
          <w:rFonts w:ascii="Arial" w:cs="Arial" w:eastAsia="Arial" w:hAnsi="Arial"/>
          <w:b/>
          <w:bCs/>
          <w:sz w:val="22"/>
          <w:szCs w:val="22"/>
        </w:rPr>
        <w:t xml:space="preserve">Path length:</w:t>
      </w:r>
      <w:r>
        <w:rPr>
          <w:rFonts w:ascii="Arial" w:cs="Arial" w:eastAsia="Arial" w:hAnsi="Arial"/>
          <w:color w:val="333333"/>
          <w:sz w:val="22"/>
          <w:szCs w:val="22"/>
        </w:rPr>
        <w:t xml:space="preserve"> 4–7 pages · </w:t>
      </w:r>
      <w:r>
        <w:rPr>
          <w:rFonts w:ascii="Arial" w:cs="Arial" w:eastAsia="Arial" w:hAnsi="Arial"/>
          <w:b/>
          <w:bCs/>
          <w:sz w:val="22"/>
          <w:szCs w:val="22"/>
        </w:rPr>
        <w:t xml:space="preserve">Target package:</w:t>
      </w:r>
      <w:r>
        <w:rPr>
          <w:rFonts w:ascii="Arial" w:cs="Arial" w:eastAsia="Arial" w:hAnsi="Arial"/>
          <w:color w:val="333333"/>
          <w:sz w:val="22"/>
          <w:szCs w:val="22"/>
        </w:rPr>
        <w:t xml:space="preserve"> Wyoming or Nevada Gold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800"/>
        <w:gridCol w:w="3260"/>
      </w:tblGrid>
      <w:tr>
        <w:tc>
          <w:tcPr>
            <w:tcW w:type="dxa" w:w="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32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CTA / Cross-link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Searches "anonymous LLC" or "hide LLC ownership"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/privacy/ or /anonymous-llc/</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Reads pillar overview — learns about nominees, state privacy statutes, BOI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/privacy/</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"Compare WY vs NV for Privacy →"</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Clicks into Wyoming Privacy cluster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/wyoming-privacy-llc/</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"See How Our Nominees Protect Your Identity →"</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Reviews Nominee Services — understands year-round vs "nominee for a day"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/nominee-services/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Cross-pillar: "Also protects your assets →"</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Compares states on comparison page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/wyoming-vs-nevada-privacy/</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Started with Wyoming Gold →"</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Reviews Wyoming Gold package — 3-tier pricing, selects add-ons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/wyoming-private-incorporation/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"Start My Private LLC — $1,275" / "Schedule Consultation"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Checkout flow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/checkout/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r>
    </w:tbl>
    <w:p>
      <w:pPr>
        <w:pStyle w:val="Heading2"/>
        <w:spacing w:after="80" w:before="120"/>
      </w:pPr>
      <w:r>
        <w:t xml:space="preserve">2b. Journey B: CA/FL Resident Seeking Privacy</w:t>
      </w:r>
    </w:p>
    <w:p>
      <w:pPr>
        <w:spacing w:after="120"/>
      </w:pPr>
      <w:r>
        <w:rPr>
          <w:rFonts w:ascii="Arial" w:cs="Arial" w:eastAsia="Arial" w:hAnsi="Arial"/>
          <w:color w:val="333333"/>
          <w:sz w:val="22"/>
          <w:szCs w:val="22"/>
        </w:rPr>
        <w:t xml:space="preserve"/>
      </w:r>
      <w:r>
        <w:rPr>
          <w:rFonts w:ascii="Arial" w:cs="Arial" w:eastAsia="Arial" w:hAnsi="Arial"/>
          <w:b/>
          <w:bCs/>
          <w:sz w:val="22"/>
          <w:szCs w:val="22"/>
        </w:rPr>
        <w:t xml:space="preserve">Persona:</w:t>
      </w:r>
      <w:r>
        <w:rPr>
          <w:rFonts w:ascii="Arial" w:cs="Arial" w:eastAsia="Arial" w:hAnsi="Arial"/>
          <w:color w:val="333333"/>
          <w:sz w:val="22"/>
          <w:szCs w:val="22"/>
        </w:rPr>
        <w:t xml:space="preserve"> California or Florida resident. Home state has public disclosure requirements. Needs WY/NV entity + foreign registration. Higher-value package ($2,500–$3,200).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800"/>
        <w:gridCol w:w="2860"/>
      </w:tblGrid>
      <w:tr>
        <w:tc>
          <w:tcPr>
            <w:tcW w:type="dxa" w:w="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8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CTA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Searches "California anonymous LLC"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/privacy/ or /california/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Discovers CA requires public disclosure; solution is form in WY, register foreign in CA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/california-private-incorporation/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"See California Private Package Pricing →"</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Reviews CA Private package — all-inclusive bundle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/california-private-incorporation/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"Protect Your California Business — $2,500"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Checkout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/checkout/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r>
    </w:tbl>
    <w:p>
      <w:pPr>
        <w:pBdr>
          <w:left w:val="single" w:color="E65100" w:sz="8"/>
        </w:pBdr>
        <w:shd w:fill="FFF3E0" w:val="clear"/>
        <w:spacing w:after="120" w:before="120"/>
        <w:ind w:left="360" w:right="360"/>
      </w:pPr>
      <w:r>
        <w:rPr>
          <w:rFonts w:ascii="Arial" w:cs="Arial" w:eastAsia="Arial" w:hAnsi="Arial"/>
          <w:i/>
          <w:iCs/>
          <w:color w:val="333333"/>
          <w:sz w:val="21"/>
          <w:szCs w:val="21"/>
        </w:rPr>
        <w:t xml:space="preserve">UX Decision: The Privacy Pillar page must feature both a general "anonymous LLC" path and a "Which state are you in?" selector that routes CA/FL visitors directly to their state-specific privacy packages.</w:t>
      </w:r>
    </w:p>
    <w:p>
      <w:pPr>
        <w:pageBreakBefore/>
      </w:pPr>
      <w:r>
        <w:br/>
      </w:r>
    </w:p>
    <w:p>
      <w:pPr>
        <w:pStyle w:val="Heading1"/>
        <w:spacing w:after="80" w:before="120"/>
      </w:pPr>
      <w:r>
        <w:t xml:space="preserve">3. Asset Protection Journey</w:t>
      </w:r>
    </w:p>
    <w:p>
      <w:pPr>
        <w:spacing w:after="120"/>
      </w:pPr>
      <w:r>
        <w:rPr>
          <w:rFonts w:ascii="Arial" w:cs="Arial" w:eastAsia="Arial" w:hAnsi="Arial"/>
          <w:color w:val="333333"/>
          <w:sz w:val="22"/>
          <w:szCs w:val="22"/>
        </w:rPr>
        <w:t xml:space="preserve">The second-highest value path. Asset protection visitors understand legal risk and want to shield assets from lawsuits. They're sophisticated buyers who often also need privacy — making cross-pillar linking critical.</w:t>
      </w:r>
    </w:p>
    <w:p>
      <w:pPr>
        <w:pStyle w:val="Heading2"/>
        <w:spacing w:after="80" w:before="120"/>
      </w:pPr>
      <w:r>
        <w:t xml:space="preserve">3a. Journey C: The Lawsuit-Averse Business Owner</w:t>
      </w:r>
    </w:p>
    <w:p>
      <w:pPr>
        <w:spacing w:after="120"/>
      </w:pPr>
      <w:r>
        <w:rPr>
          <w:rFonts w:ascii="Arial" w:cs="Arial" w:eastAsia="Arial" w:hAnsi="Arial"/>
          <w:color w:val="333333"/>
          <w:sz w:val="22"/>
          <w:szCs w:val="22"/>
        </w:rPr>
        <w:t xml:space="preserve"/>
      </w:r>
      <w:r>
        <w:rPr>
          <w:rFonts w:ascii="Arial" w:cs="Arial" w:eastAsia="Arial" w:hAnsi="Arial"/>
          <w:b/>
          <w:bCs/>
          <w:sz w:val="22"/>
          <w:szCs w:val="22"/>
        </w:rPr>
        <w:t xml:space="preserve">Persona:</w:t>
      </w:r>
      <w:r>
        <w:rPr>
          <w:rFonts w:ascii="Arial" w:cs="Arial" w:eastAsia="Arial" w:hAnsi="Arial"/>
          <w:color w:val="333333"/>
          <w:sz w:val="22"/>
          <w:szCs w:val="22"/>
        </w:rPr>
        <w:t xml:space="preserve"> Real estate investor or business owner who has been sued or knows someone who has. Understands defense costs $30K–$100K minimum. Wants strongest LLC protection. May not initially realize they also want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600"/>
        <w:gridCol w:w="3260"/>
      </w:tblGrid>
      <w:tr>
        <w:tc>
          <w:tcPr>
            <w:tcW w:type="dxa" w:w="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32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CTA / Cross-link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Searches "best state for LLC asset protection"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/asset-protection/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Reads about charging order protection — WY/NV have strongest statutes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/charging-order-protection/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"Compare WY vs NV Protection →"</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Reads WY AP cluster — sole remedy charging order provision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/wyoming-asset-protection/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Cross: "Most AP clients add privacy — here's why →"</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Cross-pillar: clicks to Privacy or Nominee Services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/nominee-services/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"Hide ownership from litigants →"</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Returns to Gold package (upsold from Silver)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/wyoming-private-incorporation/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"Maximum Protection: Gold Package →"</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Checkout — Gold package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/checkout/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r>
    </w:tbl>
    <w:p>
      <w:pPr>
        <w:pBdr>
          <w:left w:val="single" w:color="2E7D32" w:sz="8"/>
        </w:pBdr>
        <w:shd w:fill="E8F5E9" w:val="clear"/>
        <w:spacing w:after="120" w:before="120"/>
        <w:ind w:left="360" w:right="360"/>
      </w:pPr>
      <w:r>
        <w:rPr>
          <w:rFonts w:ascii="Arial" w:cs="Arial" w:eastAsia="Arial" w:hAnsi="Arial"/>
          <w:i/>
          <w:iCs/>
          <w:color w:val="333333"/>
          <w:sz w:val="21"/>
          <w:szCs w:val="21"/>
        </w:rPr>
        <w:t xml:space="preserve">Cross-Sell Opportunity: AP visitors who enter planning Silver frequently upgrade to Gold once they understand that hiding asset ownership from potential plaintiffs is a critical layer of protection. Every AP cluster page must include a cross-pillar CTA framing privacy as an extension of asset protection. Target upsell rate: 30–40%.</w:t>
      </w:r>
    </w:p>
    <w:p>
      <w:pPr>
        <w:pageBreakBefore/>
      </w:pPr>
      <w:r>
        <w:br/>
      </w:r>
    </w:p>
    <w:p>
      <w:pPr>
        <w:pStyle w:val="Heading1"/>
        <w:spacing w:after="80" w:before="120"/>
      </w:pPr>
      <w:r>
        <w:t xml:space="preserve">4. Direct Formation Journey</w:t>
      </w:r>
    </w:p>
    <w:p>
      <w:pPr>
        <w:spacing w:after="120"/>
      </w:pPr>
      <w:r>
        <w:rPr>
          <w:rFonts w:ascii="Arial" w:cs="Arial" w:eastAsia="Arial" w:hAnsi="Arial"/>
          <w:color w:val="333333"/>
          <w:sz w:val="22"/>
          <w:szCs w:val="22"/>
        </w:rPr>
        <w:t xml:space="preserve">The broadest audience but lowest per-visitor value. These visitors know they need an LLC or corporation and are comparing providers. Two distinct sub-paths: the Informed Buyer (skips education) and the Researcher (needs guidance).</w:t>
      </w:r>
    </w:p>
    <w:p>
      <w:pPr>
        <w:pStyle w:val="Heading2"/>
        <w:spacing w:after="80" w:before="120"/>
      </w:pPr>
      <w:r>
        <w:t xml:space="preserve">4a. Journey D: The Informed Buyer</w:t>
      </w:r>
    </w:p>
    <w:p>
      <w:pPr>
        <w:spacing w:after="120"/>
      </w:pPr>
      <w:r>
        <w:rPr>
          <w:rFonts w:ascii="Arial" w:cs="Arial" w:eastAsia="Arial" w:hAnsi="Arial"/>
          <w:color w:val="333333"/>
          <w:sz w:val="22"/>
          <w:szCs w:val="22"/>
        </w:rPr>
        <w:t xml:space="preserve"/>
      </w:r>
      <w:r>
        <w:rPr>
          <w:rFonts w:ascii="Arial" w:cs="Arial" w:eastAsia="Arial" w:hAnsi="Arial"/>
          <w:b/>
          <w:bCs/>
          <w:sz w:val="22"/>
          <w:szCs w:val="22"/>
        </w:rPr>
        <w:t xml:space="preserve">Persona:</w:t>
      </w:r>
      <w:r>
        <w:rPr>
          <w:rFonts w:ascii="Arial" w:cs="Arial" w:eastAsia="Arial" w:hAnsi="Arial"/>
          <w:color w:val="333333"/>
          <w:sz w:val="22"/>
          <w:szCs w:val="22"/>
        </w:rPr>
        <w:t xml:space="preserve"> Has already decided on state and entity type. Comparing providers. May have been referred by accountant or attorney. Wants to get it done quickly.</w:t>
      </w:r>
    </w:p>
    <w:p>
      <w:pPr>
        <w:spacing w:after="120"/>
      </w:pPr>
      <w:r>
        <w:rPr>
          <w:rFonts w:ascii="Arial" w:cs="Arial" w:eastAsia="Arial" w:hAnsi="Arial"/>
          <w:color w:val="333333"/>
          <w:sz w:val="22"/>
          <w:szCs w:val="22"/>
        </w:rPr>
        <w:t xml:space="preserve"/>
      </w:r>
      <w:r>
        <w:rPr>
          <w:rFonts w:ascii="Arial" w:cs="Arial" w:eastAsia="Arial" w:hAnsi="Arial"/>
          <w:b/>
          <w:bCs/>
          <w:sz w:val="22"/>
          <w:szCs w:val="22"/>
        </w:rPr>
        <w:t xml:space="preserve">Path length:</w:t>
      </w:r>
      <w:r>
        <w:rPr>
          <w:rFonts w:ascii="Arial" w:cs="Arial" w:eastAsia="Arial" w:hAnsi="Arial"/>
          <w:color w:val="333333"/>
          <w:sz w:val="22"/>
          <w:szCs w:val="22"/>
        </w:rPr>
        <w:t xml:space="preserve"> 1–2 pages · </w:t>
      </w:r>
      <w:r>
        <w:rPr>
          <w:rFonts w:ascii="Arial" w:cs="Arial" w:eastAsia="Arial" w:hAnsi="Arial"/>
          <w:b/>
          <w:bCs/>
          <w:sz w:val="22"/>
          <w:szCs w:val="22"/>
        </w:rPr>
        <w:t xml:space="preserve">Target package:</w:t>
      </w:r>
      <w:r>
        <w:rPr>
          <w:rFonts w:ascii="Arial" w:cs="Arial" w:eastAsia="Arial" w:hAnsi="Arial"/>
          <w:color w:val="333333"/>
          <w:sz w:val="22"/>
          <w:szCs w:val="22"/>
        </w:rPr>
        <w:t xml:space="preserve"> Silver or Bronze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400"/>
        <w:gridCol w:w="3060"/>
      </w:tblGrid>
      <w:tr>
        <w:tc>
          <w:tcPr>
            <w:tcW w:type="dxa" w:w="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30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CTA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Lands on Homepage or State Hub — sees direct package links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or /wyoming/</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"Wyoming LLC from $900"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Goes directly to package page — scans pricing, selects tier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/wyoming-incorporation/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Cross-sell: "Add privacy for $375 more →"</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Checkout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/checkout/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r>
    </w:tbl>
    <w:p>
      <w:pPr>
        <w:pStyle w:val="Heading2"/>
        <w:spacing w:after="80" w:before="120"/>
      </w:pPr>
      <w:r>
        <w:t xml:space="preserve">4b. Journey E: The Formation Researcher</w:t>
      </w:r>
    </w:p>
    <w:p>
      <w:pPr>
        <w:spacing w:after="120"/>
      </w:pPr>
      <w:r>
        <w:rPr>
          <w:rFonts w:ascii="Arial" w:cs="Arial" w:eastAsia="Arial" w:hAnsi="Arial"/>
          <w:color w:val="333333"/>
          <w:sz w:val="22"/>
          <w:szCs w:val="22"/>
        </w:rPr>
        <w:t xml:space="preserve"/>
      </w:r>
      <w:r>
        <w:rPr>
          <w:rFonts w:ascii="Arial" w:cs="Arial" w:eastAsia="Arial" w:hAnsi="Arial"/>
          <w:b/>
          <w:bCs/>
          <w:sz w:val="22"/>
          <w:szCs w:val="22"/>
        </w:rPr>
        <w:t xml:space="preserve">Persona:</w:t>
      </w:r>
      <w:r>
        <w:rPr>
          <w:rFonts w:ascii="Arial" w:cs="Arial" w:eastAsia="Arial" w:hAnsi="Arial"/>
          <w:color w:val="333333"/>
          <w:sz w:val="22"/>
          <w:szCs w:val="22"/>
        </w:rPr>
        <w:t xml:space="preserve"> Knows they need a business entity but hasn't decided LLC vs Corp, Wyoming vs Nevada. Researching options. Price-conscious but can be upsold on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600"/>
        <w:gridCol w:w="3060"/>
      </w:tblGrid>
      <w:tr>
        <w:tc>
          <w:tcPr>
            <w:tcW w:type="dxa" w:w="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30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CTA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Searches "LLC vs corporation"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/formation/ or /llc-vs-corporation/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Reads entity comparison — decides on LLC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/llc-vs-corporation/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"Next: Choose Your State →"</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Reads WY vs NV comparison — fees, speed, costs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/wyoming-vs-nevada/</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Cross: "70% of clients add nominee services →"</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Selects state, views Silver or Gold package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/wyoming-incorporation/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"Start My LLC" or upgrade to Gold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Checkout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/checkout/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r>
    </w:tbl>
    <w:p>
      <w:pPr>
        <w:pBdr>
          <w:left w:val="single" w:color="E65100" w:sz="8"/>
        </w:pBdr>
        <w:shd w:fill="FFF3E0" w:val="clear"/>
        <w:spacing w:after="120" w:before="120"/>
        <w:ind w:left="360" w:right="360"/>
      </w:pPr>
      <w:r>
        <w:rPr>
          <w:rFonts w:ascii="Arial" w:cs="Arial" w:eastAsia="Arial" w:hAnsi="Arial"/>
          <w:i/>
          <w:iCs/>
          <w:color w:val="333333"/>
          <w:sz w:val="21"/>
          <w:szCs w:val="21"/>
        </w:rPr>
        <w:t xml:space="preserve">Strategic Note: Formation is where Incorporate123 competes with budget providers (ZenBusiness $0 + fees, LegalZoom $0–$299). Every formation page must differentiate on what's included (agent, secretary, records, EIN, bank account) vs. competitors' base price + hidden add-ons.</w:t>
      </w:r>
    </w:p>
    <w:p>
      <w:pPr>
        <w:pageBreakBefore/>
      </w:pPr>
      <w:r>
        <w:br/>
      </w:r>
    </w:p>
    <w:p>
      <w:pPr>
        <w:pStyle w:val="Heading1"/>
        <w:spacing w:after="80" w:before="120"/>
      </w:pPr>
      <w:r>
        <w:t xml:space="preserve">5. Cross-Pillar Navigation</w:t>
      </w:r>
    </w:p>
    <w:p>
      <w:pPr>
        <w:spacing w:after="120"/>
      </w:pPr>
      <w:r>
        <w:rPr>
          <w:rFonts w:ascii="Arial" w:cs="Arial" w:eastAsia="Arial" w:hAnsi="Arial"/>
          <w:color w:val="333333"/>
          <w:sz w:val="22"/>
          <w:szCs w:val="22"/>
        </w:rPr>
        <w:t xml:space="preserve">Fourteen pages serve multiple pillars simultaneously. These cross-pillar moments are the highest-leverage points for upselling and ensuring visitors discover the full scope of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4160"/>
      </w:tblGrid>
      <w:tr>
        <w:tc>
          <w:tcPr>
            <w:tcW w:type="dxa" w:w="1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Origin Pillar</w:t>
            </w:r>
          </w:p>
        </w:tc>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Trigger Content</w:t>
            </w:r>
          </w:p>
        </w:tc>
        <w:tc>
          <w:tcPr>
            <w:tcW w:type="dxa" w:w="1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c>
          <w:tcPr>
            <w:tcW w:type="dxa" w:w="41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CTA Pattern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Asset Protection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Any AP cluster re: LLC ownership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Privacy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"Hiding ownership is your first defense →"</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Formation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After entity type selection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Privacy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"Most clients add privacy — only $375 more →"</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Privacy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Anonymous LLC: why privacy matters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Asset Protection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"Privacy protects identity. AP protects wealth →"</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Privacy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Nominee services page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Compliance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"Year-round nominee — see annual compliance →"</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Formation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LLC vs Corporation comparison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Asset Protection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"LLCs offer charging order protection →"</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Asset Protection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Charging Order Protection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Formation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"Ready to form your protected LLC? →"</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Pillars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Any cluster or comparison page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Compliance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"Every package includes agent + compliance →"</w:t>
            </w:r>
          </w:p>
        </w:tc>
      </w:tr>
    </w:tbl>
    <w:p>
      <w:pPr>
        <w:pBdr>
          <w:left w:val="single" w:color="C62828" w:sz="8"/>
        </w:pBdr>
        <w:shd w:fill="FFEBEE" w:val="clear"/>
        <w:spacing w:after="120" w:before="120"/>
        <w:ind w:left="360" w:right="360"/>
      </w:pPr>
      <w:r>
        <w:rPr>
          <w:rFonts w:ascii="Arial" w:cs="Arial" w:eastAsia="Arial" w:hAnsi="Arial"/>
          <w:i/>
          <w:iCs/>
          <w:color w:val="333333"/>
          <w:sz w:val="21"/>
          <w:szCs w:val="21"/>
        </w:rPr>
        <w:t xml:space="preserve">Anti-Pattern: Cross-pillar links must feel like helpful recommendations, not random upsells. Place them after the visitor has absorbed the current page's core content and before the final package CTA. Never put cross-pillar CTAs above the primary conversion CTA.</w:t>
      </w:r>
    </w:p>
    <w:p>
      <w:pPr>
        <w:spacing w:after="120"/>
      </w:pPr>
      <w:r>
        <w:rPr>
          <w:rFonts w:ascii="Arial" w:cs="Arial" w:eastAsia="Arial" w:hAnsi="Arial"/>
          <w:color w:val="333333"/>
          <w:sz w:val="22"/>
          <w:szCs w:val="22"/>
        </w:rPr>
        <w:t xml:space="preserve"/>
      </w:r>
      <w:r>
        <w:rPr>
          <w:rFonts w:ascii="Arial" w:cs="Arial" w:eastAsia="Arial" w:hAnsi="Arial"/>
          <w:b/>
          <w:bCs/>
          <w:sz w:val="22"/>
          <w:szCs w:val="22"/>
        </w:rPr>
        <w:t xml:space="preserve">Four UX Patterns for Cross-Pillar Links:</w:t>
      </w:r>
      <w:r>
        <w:rPr>
          <w:rFonts w:ascii="Arial" w:cs="Arial" w:eastAsia="Arial" w:hAnsi="Arial"/>
          <w:color w:val="333333"/>
          <w:sz w:val="22"/>
          <w:szCs w:val="22"/>
        </w:rPr>
        <w:t xml:space="preserve"/>
      </w:r>
    </w:p>
    <w:p>
      <w:pPr>
        <w:pStyle w:val="ListParagraph"/>
        <w:numPr>
          <w:ilvl w:val="0"/>
          <w:numId w:val="2"/>
        </w:numPr>
      </w:pPr>
      <w:r>
        <w:rPr>
          <w:rFonts w:ascii="Arial" w:cs="Arial" w:eastAsia="Arial" w:hAnsi="Arial"/>
          <w:sz w:val="22"/>
          <w:szCs w:val="22"/>
        </w:rPr>
        <w:t xml:space="preserve">Contextual Callout Box — inline within content body at natural connection points</w:t>
      </w:r>
    </w:p>
    <w:p>
      <w:pPr>
        <w:pStyle w:val="ListParagraph"/>
        <w:numPr>
          <w:ilvl w:val="0"/>
          <w:numId w:val="2"/>
        </w:numPr>
      </w:pPr>
      <w:r>
        <w:rPr>
          <w:rFonts w:ascii="Arial" w:cs="Arial" w:eastAsia="Arial" w:hAnsi="Arial"/>
          <w:sz w:val="22"/>
          <w:szCs w:val="22"/>
        </w:rPr>
        <w:t xml:space="preserve">"Also Relevant" Sidebar Block — 2-3 related pages from other pillars, contextual per page</w:t>
      </w:r>
    </w:p>
    <w:p>
      <w:pPr>
        <w:pStyle w:val="ListParagraph"/>
        <w:numPr>
          <w:ilvl w:val="0"/>
          <w:numId w:val="2"/>
        </w:numPr>
      </w:pPr>
      <w:r>
        <w:rPr>
          <w:rFonts w:ascii="Arial" w:cs="Arial" w:eastAsia="Arial" w:hAnsi="Arial"/>
          <w:sz w:val="22"/>
          <w:szCs w:val="22"/>
        </w:rPr>
        <w:t xml:space="preserve">Upgrade Prompt on Package Pages — "70% of WY clients add privacy" social proof</w:t>
      </w:r>
    </w:p>
    <w:p>
      <w:pPr>
        <w:pStyle w:val="ListParagraph"/>
        <w:numPr>
          <w:ilvl w:val="0"/>
          <w:numId w:val="2"/>
        </w:numPr>
      </w:pPr>
      <w:r>
        <w:rPr>
          <w:rFonts w:ascii="Arial" w:cs="Arial" w:eastAsia="Arial" w:hAnsi="Arial"/>
          <w:sz w:val="22"/>
          <w:szCs w:val="22"/>
        </w:rPr>
        <w:t xml:space="preserve">Post-Education Navigation Block — "Where to go next" with journey-aware suggestions</w:t>
      </w:r>
    </w:p>
    <w:p>
      <w:pPr>
        <w:pageBreakBefore/>
      </w:pPr>
      <w:r>
        <w:br/>
      </w:r>
    </w:p>
    <w:p>
      <w:pPr>
        <w:pStyle w:val="Heading1"/>
        <w:spacing w:after="80" w:before="120"/>
      </w:pPr>
      <w:r>
        <w:t xml:space="preserve">6. Secondary Journeys</w:t>
      </w:r>
    </w:p>
    <w:p>
      <w:pPr>
        <w:spacing w:after="120"/>
      </w:pPr>
      <w:r>
        <w:rPr>
          <w:rFonts w:ascii="Arial" w:cs="Arial" w:eastAsia="Arial" w:hAnsi="Arial"/>
          <w:color w:val="333333"/>
          <w:sz w:val="22"/>
          <w:szCs w:val="22"/>
        </w:rPr>
        <w:t xml:space="preserve">Lower-volume but strategically important paths that the architecture must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2200"/>
        <w:gridCol w:w="2360"/>
      </w:tblGrid>
      <w:tr>
        <w:tc>
          <w:tcPr>
            <w:tcW w:type="dxa" w:w="1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Journey</w:t>
            </w:r>
          </w:p>
        </w:tc>
        <w:tc>
          <w:tcPr>
            <w:tcW w:type="dxa" w:w="1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Entry Point</w:t>
            </w:r>
          </w:p>
        </w:tc>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Conversion Target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 Returning Client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Existing client needing compliance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Homepage → Client Login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Login or Compliance pillar → specific service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 renewal, annual report, virtual office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 Offshore Inquiry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HNW seeking Nevis/BVI/trust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/offshore/ (SEO, not main nav)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Offshore page → Consultation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Phone consult → $2K–$12K+ package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 Shelf Company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Needs aged entity immediately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/shelf-companies/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Browse inventory → Purchase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Shelf entity $2K–$12K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 State Hub Entry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Searches state directly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/wyoming/ or /nevada/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State Hub → Intent routing → Pillar entry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Routes to A, C, D, or 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 BOI Concerned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Existing LLC owner alarmed by BOI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/boi-reporting/ (P2)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BOI guide → Nominee Services → Gold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Gold package with nominees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 HNW Trust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Complex AP needs, LLC vs Trust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/asset-protection/ or /llc-vs-trust/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Comparison → Consultation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Phone consult → complex structuring</w:t>
            </w:r>
          </w:p>
        </w:tc>
      </w:tr>
    </w:tbl>
    <w:p>
      <w:pPr>
        <w:pageBreakBefore/>
      </w:pPr>
      <w:r>
        <w:br/>
      </w:r>
    </w:p>
    <w:p>
      <w:pPr>
        <w:pStyle w:val="Heading1"/>
        <w:spacing w:after="80" w:before="120"/>
      </w:pPr>
      <w:r>
        <w:t xml:space="preserve">7. Navigation Requirements for UX Phase</w:t>
      </w:r>
    </w:p>
    <w:p>
      <w:pPr>
        <w:spacing w:after="120"/>
      </w:pPr>
      <w:r>
        <w:rPr>
          <w:rFonts w:ascii="Arial" w:cs="Arial" w:eastAsia="Arial" w:hAnsi="Arial"/>
          <w:color w:val="333333"/>
          <w:sz w:val="22"/>
          <w:szCs w:val="22"/>
        </w:rPr>
        <w:t xml:space="preserve">Specific navigation design requirements derived from the journey maps. These feed directly into wireframing and information architecture decisions.</w:t>
      </w:r>
    </w:p>
    <w:p>
      <w:pPr>
        <w:pStyle w:val="Heading2"/>
        <w:spacing w:after="80" w:before="120"/>
      </w:pPr>
      <w:r>
        <w:t xml:space="preserve">Primary Navigation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1000"/>
        <w:gridCol w:w="3760"/>
      </w:tblGrid>
      <w:tr>
        <w:tc>
          <w:tcPr>
            <w:tcW w:type="dxa" w:w="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3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Intent-first main nav: Privacy · Asset Protection · Formation · Packages · About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Critical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primary journeys begin with intent, not geography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Persistent Client Login visible in header on every page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Critical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Returning clients (Journey F) must find login instantly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Direct package access — "Packages" nav item with dropdown by state/tier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Critical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Informed buyers (Journey D) need 1-click to packages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Phone number in header with tap-to-call on mobile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Consultation journeys (G, K) require visible phone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Mega menu showing clusters and comparisons under each pillar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Enables mid-journey navigation without backtracking</w:t>
            </w:r>
          </w:p>
        </w:tc>
      </w:tr>
    </w:tbl>
    <w:p>
      <w:pPr>
        <w:pStyle w:val="Heading2"/>
        <w:spacing w:after="80" w:before="120"/>
      </w:pPr>
      <w:r>
        <w:t xml:space="preserve">On-Page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1000"/>
        <w:gridCol w:w="3760"/>
      </w:tblGrid>
      <w:tr>
        <w:tc>
          <w:tcPr>
            <w:tcW w:type="dxa" w:w="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3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N-6</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Breadcrumb trail on every cluster, comparison, and package page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Critical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Reinforces architecture for users and search engines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N-7</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"Where to Go Next" block at end of every content page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Journey-aware suggestions: comparison → package → checkout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N-8</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Pillar-aware sidebar showing related clusters + 1-2 cross-pillar links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090"/>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Collapses to end-of-content block on mobile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N-9</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State Hub pages function as routers with three intent-based paths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Prevents state-entry visitors from getting stuck</w:t>
            </w:r>
          </w:p>
        </w:tc>
      </w:tr>
    </w:tbl>
    <w:p>
      <w:pPr>
        <w:pStyle w:val="Heading2"/>
        <w:spacing w:after="80" w:before="120"/>
      </w:pPr>
      <w:r>
        <w:t xml:space="preserve">Mobile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1000"/>
        <w:gridCol w:w="3760"/>
      </w:tblGrid>
      <w:tr>
        <w:tc>
          <w:tcPr>
            <w:tcW w:type="dxa" w:w="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3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N-10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Sticky bottom CTA bar: primary action + tap-to-call phone icon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Critical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Supports both self-service and consultation funnels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N-11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Hamburger menu maintains pillar structure (not alphabetical list)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Packages and Login above fold in mobile menu</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N-12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Complete footer sitemap with all pillars, packages, state hubs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090"/>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Offshore in footer (not main nav) for SEO without prominence</w:t>
            </w:r>
          </w:p>
        </w:tc>
      </w:tr>
    </w:tbl>
    <w:p>
      <w:pPr>
        <w:pageBreakBefore/>
      </w:pPr>
      <w:r>
        <w:br/>
      </w:r>
    </w:p>
    <w:p>
      <w:pPr>
        <w:pStyle w:val="Heading1"/>
        <w:spacing w:after="80" w:before="120"/>
      </w:pPr>
      <w:r>
        <w:t xml:space="preserve">8. CTA Placement Recommendations</w:t>
      </w:r>
    </w:p>
    <w:p>
      <w:pPr>
        <w:spacing w:after="120"/>
      </w:pPr>
      <w:r>
        <w:rPr>
          <w:rFonts w:ascii="Arial" w:cs="Arial" w:eastAsia="Arial" w:hAnsi="Arial"/>
          <w:color w:val="333333"/>
          <w:sz w:val="22"/>
          <w:szCs w:val="22"/>
        </w:rPr>
        <w:t xml:space="preserve">Specific CTA types, copy direction, and placement rules for each funnel stage. Every CTA must balance moving visitors toward conversion without disrupting the education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c>
          <w:tcPr>
            <w:tcW w:type="dxa" w:w="1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Funnel Stage</w:t>
            </w:r>
          </w:p>
        </w:tc>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CTA Type</w:t>
            </w:r>
          </w:p>
        </w:tc>
        <w:tc>
          <w:tcPr>
            <w:tcW w:type="dxa" w:w="3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Copy Direction</w:t>
            </w:r>
          </w:p>
        </w:tc>
        <w:tc>
          <w:tcPr>
            <w:tcW w:type="dxa" w:w="29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Pillar Pages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Soft CTA + shortcut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"Explore Anonymous LLC Options →" + "Already know? View packages →"</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after each section; shortcut in sidebar (desktop)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Cluster Pages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Progression + cross-pillar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"Compare States →" + one cross-pillar callout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after content, before FAQ; cross-pillar inline mid-content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Comparison Pages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Dual package CTAs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Started with WY Gold — $1,275" | "Get Started with NV Gold — $1,800"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After comparison table (above fold); repeated at page bottom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Package Pages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Strong conversion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"Start My [Entity] — $[price]" per tier; Gold highlighted as Most Popular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 of 3-tier grid (above fold); sticky on mobile; after FAQ</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Homepage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Intent router + direct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Three pillar cards + direct price links below</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Hero: pillar cards; below fold: package price cards + trust section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State Hubs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Intent router (state-specific)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"Wyoming for Privacy →" / "WY for AP →" / "WY LLC Formation →"</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Intent cards above fold; package links below</w:t>
            </w:r>
          </w:p>
        </w:tc>
      </w:tr>
    </w:tbl>
    <w:p>
      <w:pPr>
        <w:pStyle w:val="Heading2"/>
        <w:spacing w:after="80" w:before="120"/>
      </w:pPr>
      <w:r>
        <w:t xml:space="preserve">CTA Placement Rules</w:t>
      </w:r>
    </w:p>
    <w:p>
      <w:pPr>
        <w:pStyle w:val="ListParagraph"/>
        <w:numPr>
          <w:ilvl w:val="0"/>
          <w:numId w:val="2"/>
        </w:numPr>
        <w:spacing w:after="60"/>
      </w:pPr>
      <w:r>
        <w:rPr>
          <w:rFonts w:ascii="Arial" w:cs="Arial" w:eastAsia="Arial" w:hAnsi="Arial"/>
          <w:sz w:val="22"/>
          <w:szCs w:val="22"/>
        </w:rPr>
        <w:t xml:space="preserve">Above-Fold Presence: Every page must have at least one CTA visible without scrolling.</w:t>
      </w:r>
    </w:p>
    <w:p>
      <w:pPr>
        <w:pStyle w:val="ListParagraph"/>
        <w:numPr>
          <w:ilvl w:val="0"/>
          <w:numId w:val="2"/>
        </w:numPr>
        <w:spacing w:after="60"/>
      </w:pPr>
      <w:r>
        <w:rPr>
          <w:rFonts w:ascii="Arial" w:cs="Arial" w:eastAsia="Arial" w:hAnsi="Arial"/>
          <w:sz w:val="22"/>
          <w:szCs w:val="22"/>
        </w:rPr>
        <w:t xml:space="preserve">Post-Content Repeat: Primary CTA repeats after main content and after FAQ section.</w:t>
      </w:r>
    </w:p>
    <w:p>
      <w:pPr>
        <w:pStyle w:val="ListParagraph"/>
        <w:numPr>
          <w:ilvl w:val="0"/>
          <w:numId w:val="2"/>
        </w:numPr>
        <w:spacing w:after="60"/>
      </w:pPr>
      <w:r>
        <w:rPr>
          <w:rFonts w:ascii="Arial" w:cs="Arial" w:eastAsia="Arial" w:hAnsi="Arial"/>
          <w:sz w:val="22"/>
          <w:szCs w:val="22"/>
        </w:rPr>
        <w:t xml:space="preserve">One Primary, One Secondary: Each page has exactly one primary CTA style and one secondary. Never three competing styles.</w:t>
      </w:r>
    </w:p>
    <w:p>
      <w:pPr>
        <w:pStyle w:val="ListParagraph"/>
        <w:numPr>
          <w:ilvl w:val="0"/>
          <w:numId w:val="2"/>
        </w:numPr>
        <w:spacing w:after="60"/>
      </w:pPr>
      <w:r>
        <w:rPr>
          <w:rFonts w:ascii="Arial" w:cs="Arial" w:eastAsia="Arial" w:hAnsi="Arial"/>
          <w:sz w:val="22"/>
          <w:szCs w:val="22"/>
        </w:rPr>
        <w:t xml:space="preserve">Cross-Pillar Below Primary: Cross-pillar CTAs always appear below the page's primary conversion CTA.</w:t>
      </w:r>
    </w:p>
    <w:p>
      <w:pPr>
        <w:pStyle w:val="ListParagraph"/>
        <w:numPr>
          <w:ilvl w:val="0"/>
          <w:numId w:val="2"/>
        </w:numPr>
        <w:spacing w:after="60"/>
      </w:pPr>
      <w:r>
        <w:rPr>
          <w:rFonts w:ascii="Arial" w:cs="Arial" w:eastAsia="Arial" w:hAnsi="Arial"/>
          <w:sz w:val="22"/>
          <w:szCs w:val="22"/>
        </w:rPr>
        <w:t xml:space="preserve">Mobile Priority: Sticky bottom CTA bar takes precedence. In-content CTAs can be less prominent.</w:t>
      </w:r>
    </w:p>
    <w:p>
      <w:pPr>
        <w:pStyle w:val="ListParagraph"/>
        <w:numPr>
          <w:ilvl w:val="0"/>
          <w:numId w:val="2"/>
        </w:numPr>
        <w:spacing w:after="60"/>
      </w:pPr>
      <w:r>
        <w:rPr>
          <w:rFonts w:ascii="Arial" w:cs="Arial" w:eastAsia="Arial" w:hAnsi="Arial"/>
          <w:sz w:val="22"/>
          <w:szCs w:val="22"/>
        </w:rPr>
        <w:t xml:space="preserve">Consultation Safety Net: Every self-service CTA must have a "Talk to us" alternative nearby.</w:t>
      </w:r>
    </w:p>
    <w:p>
      <w:pPr>
        <w:pStyle w:val="Heading2"/>
        <w:spacing w:after="80" w:before="120"/>
      </w:pPr>
      <w:r>
        <w:t xml:space="preserve">CTA Copy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Do</w:t>
            </w:r>
          </w:p>
        </w:tc>
        <w:tc>
          <w:tcPr>
            <w:tcW w:type="dxa" w:w="3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Don't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Specificity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"Start My Wyoming LLC — $900"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Started" / "Learn More"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Action-Oriented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"Protect Your Business Now →"</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"Click Here" / "Submit"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Value Framing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"All-Inclusive: Formation + Agent + EIN"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"Starting at $900" (implies hidden costs)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Trust Reinforcement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"Join 40,000+ businesses protected"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"Buy now" without social proof</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Consultation Option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"Questions? Free 15-min consultation"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phone alternative offered</w:t>
            </w:r>
          </w:p>
        </w:tc>
      </w:tr>
    </w:tbl>
    <w:p>
      <w:pPr>
        <w:spacing w:before="600"/>
      </w:pPr>
    </w:p>
    <w:p>
      <w:pPr>
        <w:pBdr>
          <w:top w:val="single" w:color="2E5090" w:sz="2"/>
        </w:pBdr>
        <w:spacing w:before="200"/>
        <w:jc w:val="center"/>
      </w:pPr>
      <w:r>
        <w:rPr>
          <w:rFonts w:ascii="Arial" w:cs="Arial" w:eastAsia="Arial" w:hAnsi="Arial"/>
          <w:i/>
          <w:iCs/>
          <w:color w:val="666666"/>
          <w:sz w:val="20"/>
          <w:szCs w:val="20"/>
        </w:rPr>
        <w:t xml:space="preserve">End of Document</w:t>
      </w:r>
    </w:p>
    <w:p>
      <w:pPr>
        <w:spacing w:before="80"/>
        <w:jc w:val="center"/>
      </w:pPr>
      <w:r>
        <w:rPr>
          <w:rFonts w:ascii="Arial" w:cs="Arial" w:eastAsia="Arial" w:hAnsi="Arial"/>
          <w:color w:val="666666"/>
          <w:sz w:val="20"/>
          <w:szCs w:val="20"/>
        </w:rPr>
        <w:t xml:space="preserve">Next: UX prototyping phase uses this document alongside the Content Migration Map and SEO Strategy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spacing w:before="120"/>
      <w:jc w:val="center"/>
    </w:pPr>
    <w:r>
      <w:rPr>
        <w:rFonts w:ascii="Arial" w:cs="Arial" w:eastAsia="Arial" w:hAnsi="Arial"/>
        <w:color w:val="666666"/>
        <w:sz w:val="16"/>
        <w:szCs w:val="16"/>
      </w:rPr>
      <w:t xml:space="preserve">BIT Studios  |  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2"/>
      </w:pBdr>
      <w:spacing w:after="120"/>
      <w:jc w:val="right"/>
    </w:pPr>
    <w:r>
      <w:rPr>
        <w:rFonts w:ascii="Arial" w:cs="Arial" w:eastAsia="Arial" w:hAnsi="Arial"/>
        <w:color w:val="666666"/>
        <w:sz w:val="18"/>
        <w:szCs w:val="18"/>
      </w:rPr>
      <w:t xml:space="preserve">Incorporate123 Redesign</w:t>
    </w:r>
    <w:r>
      <w:rPr>
        <w:rFonts w:ascii="Arial" w:cs="Arial" w:eastAsia="Arial" w:hAnsi="Arial"/>
        <w:color w:val="666666"/>
        <w:sz w:val="18"/>
        <w:szCs w:val="18"/>
      </w:rPr>
      <w:t xml:space="preserve">  |  User Journey Mapping  |  Task 4.4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2026-03-01T00:36:24.301Z</dcterms:created>
  <dcterms:modified xsi:type="dcterms:W3CDTF">2026-03-01T00:36:24.302Z</dcterms:modified>
</cp:coreProperties>
</file>

<file path=docProps/custom.xml><?xml version="1.0" encoding="utf-8"?>
<Properties xmlns="http://schemas.openxmlformats.org/officeDocument/2006/custom-properties" xmlns:vt="http://schemas.openxmlformats.org/officeDocument/2006/docPropsVTypes"/>
</file>