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0E97" w14:textId="2EB3A89F" w:rsidR="00A7478A" w:rsidRDefault="00034E8B">
      <w:r>
        <w:t>This is getting closer to stable, though not responsive enough in yaw so I’ll add that back in.</w:t>
      </w:r>
    </w:p>
    <w:sectPr w:rsidR="00A7478A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8B"/>
    <w:rsid w:val="00034E8B"/>
    <w:rsid w:val="006D3C48"/>
    <w:rsid w:val="0077208C"/>
    <w:rsid w:val="00DD4E0D"/>
    <w:rsid w:val="00E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54042"/>
  <w15:chartTrackingRefBased/>
  <w15:docId w15:val="{5C23464F-D10F-FF4B-9EA2-5FE8245B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1</cp:revision>
  <dcterms:created xsi:type="dcterms:W3CDTF">2023-12-19T02:04:00Z</dcterms:created>
  <dcterms:modified xsi:type="dcterms:W3CDTF">2023-12-19T02:07:00Z</dcterms:modified>
</cp:coreProperties>
</file>