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8100" w14:textId="392437BD" w:rsidR="0040012D" w:rsidRDefault="0040012D" w:rsidP="00F81A51">
      <w:pPr>
        <w:spacing w:after="0" w:line="240" w:lineRule="auto"/>
        <w:ind w:left="364" w:hanging="360"/>
      </w:pPr>
    </w:p>
    <w:p w14:paraId="0AE2D242" w14:textId="79CF97BD" w:rsidR="009B25F7" w:rsidRDefault="009B25F7" w:rsidP="00F81A51">
      <w:pPr>
        <w:spacing w:after="0" w:line="240" w:lineRule="auto"/>
        <w:ind w:left="364" w:hanging="360"/>
      </w:pPr>
    </w:p>
    <w:p w14:paraId="6FC18404" w14:textId="6683A34E" w:rsidR="00656D5D" w:rsidRDefault="00656D5D" w:rsidP="00D40A1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Audit Data Analytics</w:t>
      </w:r>
    </w:p>
    <w:p w14:paraId="46962E28" w14:textId="0997E086" w:rsidR="00D40A10" w:rsidRDefault="00656D5D" w:rsidP="00D40A1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Service Area Grouping and Anomaly Detection</w:t>
      </w:r>
    </w:p>
    <w:p w14:paraId="1520064D" w14:textId="5718926A" w:rsidR="00A414E7" w:rsidRDefault="00A414E7" w:rsidP="00D40A1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417BE7" w14:textId="77777777" w:rsidR="00D40A10" w:rsidRDefault="00D40A10" w:rsidP="00D40A10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664E800" w14:textId="77777777" w:rsidR="00D40A10" w:rsidRDefault="00D40A10" w:rsidP="00636F62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5417CD8E" w14:textId="77777777" w:rsidR="00262DCD" w:rsidRPr="008818AF" w:rsidRDefault="00262DC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3D4C1574" w14:textId="2577D913" w:rsidR="004075BA" w:rsidRPr="006D206A" w:rsidRDefault="004075BA" w:rsidP="006D206A">
      <w:pPr>
        <w:pStyle w:val="ListParagraph"/>
        <w:numPr>
          <w:ilvl w:val="0"/>
          <w:numId w:val="2"/>
        </w:numPr>
        <w:spacing w:after="0" w:line="240" w:lineRule="auto"/>
        <w:ind w:left="364"/>
        <w:outlineLvl w:val="0"/>
        <w:rPr>
          <w:rFonts w:ascii="Arial" w:hAnsi="Arial" w:cs="Arial"/>
          <w:b/>
          <w:bCs/>
          <w:sz w:val="28"/>
          <w:szCs w:val="28"/>
        </w:rPr>
      </w:pPr>
      <w:bookmarkStart w:id="0" w:name="_Toc172580910"/>
      <w:r w:rsidRPr="006D206A">
        <w:rPr>
          <w:rFonts w:ascii="Arial" w:hAnsi="Arial" w:cs="Arial"/>
          <w:b/>
          <w:bCs/>
          <w:sz w:val="28"/>
          <w:szCs w:val="28"/>
        </w:rPr>
        <w:t>Grouping Service Areas</w:t>
      </w:r>
      <w:bookmarkEnd w:id="0"/>
      <w:r w:rsidR="00656D5D">
        <w:rPr>
          <w:rFonts w:ascii="Arial" w:hAnsi="Arial" w:cs="Arial"/>
          <w:b/>
          <w:bCs/>
          <w:sz w:val="28"/>
          <w:szCs w:val="28"/>
        </w:rPr>
        <w:t xml:space="preserve"> via Unsupervised Learning</w:t>
      </w:r>
    </w:p>
    <w:p w14:paraId="2431BA42" w14:textId="77777777" w:rsidR="002B4CFE" w:rsidRDefault="002B4CFE" w:rsidP="00087B90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3B4E2FF7" w14:textId="66466F1D" w:rsidR="00FF2849" w:rsidRDefault="002B4CFE" w:rsidP="00E4369C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24 service areas can be grouped into four clusters</w:t>
      </w:r>
      <w:r w:rsidR="00AF3A7B">
        <w:rPr>
          <w:rFonts w:ascii="Arial" w:hAnsi="Arial" w:cs="Arial"/>
          <w:sz w:val="22"/>
          <w:szCs w:val="22"/>
        </w:rPr>
        <w:t xml:space="preserve"> based on their similarities in transaction averages and transaction counts.</w:t>
      </w:r>
      <w:r w:rsidR="00BA1FA3">
        <w:rPr>
          <w:rFonts w:ascii="Arial" w:hAnsi="Arial" w:cs="Arial"/>
          <w:sz w:val="22"/>
          <w:szCs w:val="22"/>
        </w:rPr>
        <w:t xml:space="preserve"> The scatter plot </w:t>
      </w:r>
      <w:r w:rsidR="006D206A">
        <w:rPr>
          <w:rFonts w:ascii="Arial" w:hAnsi="Arial" w:cs="Arial"/>
          <w:sz w:val="22"/>
          <w:szCs w:val="22"/>
        </w:rPr>
        <w:t>next page</w:t>
      </w:r>
      <w:r w:rsidR="00BA1FA3">
        <w:rPr>
          <w:rFonts w:ascii="Arial" w:hAnsi="Arial" w:cs="Arial"/>
          <w:sz w:val="22"/>
          <w:szCs w:val="22"/>
        </w:rPr>
        <w:t xml:space="preserve"> </w:t>
      </w:r>
      <w:r w:rsidR="00D87A9B">
        <w:rPr>
          <w:rFonts w:ascii="Arial" w:hAnsi="Arial" w:cs="Arial"/>
          <w:sz w:val="22"/>
          <w:szCs w:val="22"/>
        </w:rPr>
        <w:t>illustrates where each of the service area is in each of the coloured clusters.</w:t>
      </w:r>
      <w:r w:rsidR="00646AB2">
        <w:rPr>
          <w:rFonts w:ascii="Arial" w:hAnsi="Arial" w:cs="Arial"/>
          <w:sz w:val="22"/>
          <w:szCs w:val="22"/>
        </w:rPr>
        <w:t xml:space="preserve"> The table below</w:t>
      </w:r>
      <w:r w:rsidR="00CD29B3">
        <w:rPr>
          <w:rFonts w:ascii="Arial" w:hAnsi="Arial" w:cs="Arial"/>
          <w:sz w:val="22"/>
          <w:szCs w:val="22"/>
        </w:rPr>
        <w:t xml:space="preserve"> it</w:t>
      </w:r>
      <w:r w:rsidR="00646AB2">
        <w:rPr>
          <w:rFonts w:ascii="Arial" w:hAnsi="Arial" w:cs="Arial"/>
          <w:sz w:val="22"/>
          <w:szCs w:val="22"/>
        </w:rPr>
        <w:t xml:space="preserve"> gives details about </w:t>
      </w:r>
      <w:r w:rsidR="00CD29B3">
        <w:rPr>
          <w:rFonts w:ascii="Arial" w:hAnsi="Arial" w:cs="Arial"/>
          <w:sz w:val="22"/>
          <w:szCs w:val="22"/>
        </w:rPr>
        <w:t>service area names and their associated clusters.</w:t>
      </w:r>
      <w:r w:rsidR="00C76C8A">
        <w:rPr>
          <w:rFonts w:ascii="Arial" w:hAnsi="Arial" w:cs="Arial"/>
          <w:sz w:val="22"/>
          <w:szCs w:val="22"/>
        </w:rPr>
        <w:t xml:space="preserve"> The clustering algorithm used </w:t>
      </w:r>
      <w:r w:rsidR="00806BC2">
        <w:rPr>
          <w:rFonts w:ascii="Arial" w:hAnsi="Arial" w:cs="Arial"/>
          <w:sz w:val="22"/>
          <w:szCs w:val="22"/>
        </w:rPr>
        <w:t>is K-means, which is based on Euclidean distances</w:t>
      </w:r>
      <w:r w:rsidR="00087B90">
        <w:rPr>
          <w:rFonts w:ascii="Arial" w:hAnsi="Arial" w:cs="Arial"/>
          <w:sz w:val="22"/>
          <w:szCs w:val="22"/>
        </w:rPr>
        <w:t>.</w:t>
      </w:r>
    </w:p>
    <w:p w14:paraId="1AE9734E" w14:textId="77777777" w:rsidR="00E4369C" w:rsidRDefault="00E4369C" w:rsidP="00E4369C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</w:p>
    <w:p w14:paraId="0A32F566" w14:textId="0CFD2A9B" w:rsidR="00FF2849" w:rsidRDefault="008F6465" w:rsidP="00E4369C">
      <w:pPr>
        <w:spacing w:after="0" w:line="240" w:lineRule="auto"/>
        <w:contextualSpacing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G</w:t>
      </w:r>
      <w:r w:rsidR="00FF2849"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rouping </w:t>
      </w:r>
      <w:r w:rsidR="009008F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s</w:t>
      </w:r>
      <w:r w:rsidR="00FF2849"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ervice </w:t>
      </w:r>
      <w:r w:rsidR="009008F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a</w:t>
      </w:r>
      <w:r w:rsidR="00FF2849"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reas based on similarities in spending behavior</w:t>
      </w:r>
      <w:r w:rsidR="009008F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</w:t>
      </w:r>
      <w:r w:rsidR="000F1F4A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has </w:t>
      </w:r>
      <w:r w:rsidR="00FF2849"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some key benefits </w:t>
      </w:r>
      <w:r w:rsidR="000F1F4A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for conducting audits.</w:t>
      </w:r>
    </w:p>
    <w:p w14:paraId="055143EB" w14:textId="77777777" w:rsidR="00E861EF" w:rsidRDefault="00E861EF" w:rsidP="00E4369C">
      <w:pPr>
        <w:spacing w:after="0" w:line="240" w:lineRule="auto"/>
        <w:contextualSpacing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</w:p>
    <w:p w14:paraId="54AB76FA" w14:textId="77777777" w:rsidR="00E861EF" w:rsidRDefault="00FF2849" w:rsidP="00FF4B2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Enhancing </w:t>
      </w:r>
      <w:r w:rsidR="00252742"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a</w:t>
      </w:r>
      <w:r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nomaly </w:t>
      </w:r>
      <w:r w:rsidR="00252742"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d</w:t>
      </w:r>
      <w:r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etection</w:t>
      </w:r>
      <w:r w:rsidR="00252742"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:</w:t>
      </w:r>
      <w:r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Clustering allows auditors to establish a baseline for what constitutes 'normal' behavior for each group of </w:t>
      </w:r>
      <w:r w:rsidR="00311C10"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s</w:t>
      </w:r>
      <w:r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ervice </w:t>
      </w:r>
      <w:r w:rsidR="00311C10"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a</w:t>
      </w:r>
      <w:r w:rsidRPr="00126F6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reas. Transactions that significantly deviate from the norms of their respective clusters can be flagged as potential anomalies.</w:t>
      </w:r>
      <w:r w:rsidR="00851B9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In addition,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</w:t>
      </w:r>
      <w:r w:rsidR="00851B9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i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nstead of comparing transactions across all </w:t>
      </w:r>
      <w:r w:rsidR="00851B9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s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ervice </w:t>
      </w:r>
      <w:r w:rsidR="00851B9B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a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reas, auditors can focus on deviations within each cluster, making anomaly detection more targeted and efficient.</w:t>
      </w:r>
    </w:p>
    <w:p w14:paraId="3E400E67" w14:textId="77777777" w:rsidR="00E861EF" w:rsidRDefault="00E861EF" w:rsidP="00E861EF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</w:p>
    <w:p w14:paraId="46283064" w14:textId="77777777" w:rsidR="00AF7CD9" w:rsidRDefault="00FF2849" w:rsidP="00FF4B2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Prioritizing </w:t>
      </w:r>
      <w:r w:rsidR="00E861EF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a</w:t>
      </w:r>
      <w:r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udit </w:t>
      </w:r>
      <w:r w:rsidR="00E861EF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e</w:t>
      </w:r>
      <w:r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fforts</w:t>
      </w:r>
      <w:r w:rsidR="00E861EF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with risk-based auditing:</w:t>
      </w:r>
      <w:r w:rsidR="0017173B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Clustering can help in prioritizing audit efforts based on the risk profiles of different clusters. Service </w:t>
      </w:r>
      <w:r w:rsidR="00B6224C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a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reas in clusters with </w:t>
      </w:r>
      <w:r w:rsidR="00B6224C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large </w:t>
      </w:r>
      <w:r w:rsidR="00CC4FAA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numbers of 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transaction </w:t>
      </w:r>
      <w:r w:rsidR="00CC4FAA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(e.g.</w:t>
      </w:r>
      <w:r w:rsidR="00C30051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,</w:t>
      </w:r>
      <w:r w:rsidR="00CC4FAA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Children's Family Services) </w:t>
      </w:r>
      <w:r w:rsidR="00C30051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and high average transaction amounts (e.g., Customer Support Group) 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might be audited more frequently.</w:t>
      </w:r>
      <w:r w:rsidR="00157BEA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This</w:t>
      </w:r>
      <w:r w:rsidR="003C0D01" w:rsidRP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, when combined with historical control deficiencies and exceptions noted, </w:t>
      </w:r>
      <w:r w:rsid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will help 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auditors </w:t>
      </w:r>
      <w:r w:rsidR="003C0D0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to 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allocate resources more effectively and focus on areas that </w:t>
      </w:r>
      <w:r w:rsidR="00AA6DFE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are subject to higher risks</w:t>
      </w:r>
      <w:r w:rsidRPr="00FF284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.</w:t>
      </w:r>
    </w:p>
    <w:p w14:paraId="25456490" w14:textId="77777777" w:rsidR="00AF7CD9" w:rsidRDefault="00AF7CD9" w:rsidP="00AF7CD9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</w:p>
    <w:p w14:paraId="192915B0" w14:textId="1F55F838" w:rsidR="00087B90" w:rsidRPr="00DA7E21" w:rsidRDefault="00FF2849" w:rsidP="00DA7E2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AF7CD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Strategic </w:t>
      </w:r>
      <w:r w:rsidR="00AF7CD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i</w:t>
      </w:r>
      <w:r w:rsidRPr="00AF7CD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nsights and </w:t>
      </w:r>
      <w:r w:rsidR="00AF7CD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r</w:t>
      </w:r>
      <w:r w:rsidRPr="00AF7CD9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eporting</w:t>
      </w:r>
      <w:r w:rsidR="00F73073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: </w:t>
      </w:r>
      <w:r w:rsidRPr="00F73073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Grouping </w:t>
      </w:r>
      <w:r w:rsidR="00F73073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s</w:t>
      </w:r>
      <w:r w:rsidRPr="00F73073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ervice </w:t>
      </w:r>
      <w:r w:rsidR="00F73073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a</w:t>
      </w:r>
      <w:r w:rsidRPr="00F73073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reas allows for detailed and structured reporting. Auditors can present findings by cluster, providing a clearer narrative of the </w:t>
      </w:r>
      <w:r w:rsidR="00CB794F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auditee</w:t>
      </w:r>
      <w:r w:rsidR="0050478D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, showing their deep understanding of the client business, and </w:t>
      </w:r>
      <w:r w:rsidR="00414843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solidifying auditors’ positions </w:t>
      </w:r>
      <w:r w:rsidR="00842C0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as</w:t>
      </w:r>
      <w:r w:rsidR="00414843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trusted partners</w:t>
      </w:r>
      <w:r w:rsidR="00842C0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toward </w:t>
      </w:r>
      <w:r w:rsidR="00DA7E21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their </w:t>
      </w:r>
      <w:r w:rsidR="00842C0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stakeholders</w:t>
      </w:r>
      <w:r w:rsidRPr="00F73073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.</w:t>
      </w:r>
    </w:p>
    <w:p w14:paraId="5A8D3895" w14:textId="77777777" w:rsidR="00E97491" w:rsidRDefault="00E97491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</w:p>
    <w:p w14:paraId="525EF296" w14:textId="59062430" w:rsidR="00E97491" w:rsidRDefault="00E97491" w:rsidP="00646AB2">
      <w:pPr>
        <w:spacing w:after="0" w:line="240" w:lineRule="auto"/>
        <w:ind w:left="4"/>
        <w:jc w:val="center"/>
        <w:rPr>
          <w:rFonts w:ascii="Arial" w:hAnsi="Arial" w:cs="Arial"/>
          <w:sz w:val="22"/>
          <w:szCs w:val="22"/>
        </w:rPr>
      </w:pPr>
      <w:r w:rsidRPr="00E97491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BA73647" wp14:editId="08F6412B">
            <wp:extent cx="5401429" cy="4163006"/>
            <wp:effectExtent l="0" t="0" r="8890" b="9525"/>
            <wp:docPr id="632648688" name="Picture 1" descr="A graph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48688" name="Picture 1" descr="A graph with numbers and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F55F" w14:textId="6A2EB8A7" w:rsidR="00010976" w:rsidRDefault="00010976">
      <w:pPr>
        <w:rPr>
          <w:rFonts w:ascii="Arial" w:hAnsi="Arial" w:cs="Arial"/>
          <w:sz w:val="22"/>
          <w:szCs w:val="22"/>
        </w:rPr>
      </w:pPr>
    </w:p>
    <w:p w14:paraId="24C234C7" w14:textId="77777777" w:rsidR="00157C27" w:rsidRDefault="00157C27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</w:p>
    <w:tbl>
      <w:tblPr>
        <w:tblW w:w="8475" w:type="dxa"/>
        <w:jc w:val="center"/>
        <w:tblLook w:val="04A0" w:firstRow="1" w:lastRow="0" w:firstColumn="1" w:lastColumn="0" w:noHBand="0" w:noVBand="1"/>
      </w:tblPr>
      <w:tblGrid>
        <w:gridCol w:w="3280"/>
        <w:gridCol w:w="2483"/>
        <w:gridCol w:w="1806"/>
        <w:gridCol w:w="906"/>
      </w:tblGrid>
      <w:tr w:rsidR="00646AB2" w:rsidRPr="00157C27" w14:paraId="651185A2" w14:textId="77777777" w:rsidTr="00646AB2">
        <w:trPr>
          <w:trHeight w:val="300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hideMark/>
          </w:tcPr>
          <w:p w14:paraId="7A213700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Service Area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hideMark/>
          </w:tcPr>
          <w:p w14:paraId="6747E2D9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57C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total_transaction_count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hideMark/>
          </w:tcPr>
          <w:p w14:paraId="023B7DFB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57C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average_amount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hideMark/>
          </w:tcPr>
          <w:p w14:paraId="3F5CC580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Cluster</w:t>
            </w:r>
          </w:p>
        </w:tc>
      </w:tr>
      <w:tr w:rsidR="00646AB2" w:rsidRPr="00157C27" w14:paraId="3C644DE6" w14:textId="77777777" w:rsidTr="00646AB2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0894A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Adults and Communities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FDC3D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E4BCD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153.23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2B7ED955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46AB2" w:rsidRPr="00157C27" w14:paraId="68C89FF1" w14:textId="77777777" w:rsidTr="00646AB2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D36FC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Assurance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357DB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246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B52EE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 70.46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53C9337A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46AB2" w:rsidRPr="00157C27" w14:paraId="62CA2AA8" w14:textId="77777777" w:rsidTr="00646AB2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CCB78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Commercial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6C283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9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42D86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304.78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31A35A41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46AB2" w:rsidRPr="00157C27" w14:paraId="144E1E3D" w14:textId="77777777" w:rsidTr="00646AB2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34DF8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Children's Service DSG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2DBE4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231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E3935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128.39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06F58724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46AB2" w:rsidRPr="00157C27" w14:paraId="225C9626" w14:textId="77777777" w:rsidTr="00646AB2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AB971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Deputy Chief Operating Officer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8EF21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113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1BC6E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 36.89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2FF6991C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46AB2" w:rsidRPr="00157C27" w14:paraId="0BC5C509" w14:textId="77777777" w:rsidTr="00646AB2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8F483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Corporate Accounting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93515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1FAB8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132.98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647C3338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46AB2" w:rsidRPr="00157C27" w14:paraId="719AF986" w14:textId="77777777" w:rsidTr="00646AB2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4AE01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Control Accounts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43DFF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E8454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 23.84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64677FB4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46AB2" w:rsidRPr="00157C27" w14:paraId="517EB98A" w14:textId="77777777" w:rsidTr="00646AB2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3816A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Commissioning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8A38A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258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AE9E3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161.57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25EB5DEB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46AB2" w:rsidRPr="00157C27" w14:paraId="7938F42C" w14:textId="77777777" w:rsidTr="00646AB2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0D3AE" w14:textId="77777777" w:rsidR="00646AB2" w:rsidRPr="00157C27" w:rsidRDefault="00646AB2" w:rsidP="00157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Education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566F2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95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161E6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134.90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3095ADCA" w14:textId="77777777" w:rsidR="00646AB2" w:rsidRPr="00157C27" w:rsidRDefault="00646AB2" w:rsidP="00157C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</w:tbl>
    <w:p w14:paraId="70063C73" w14:textId="77777777" w:rsidR="00157C27" w:rsidRDefault="00157C27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</w:p>
    <w:p w14:paraId="41CB406A" w14:textId="77777777" w:rsidR="00157C27" w:rsidRPr="002B3BB8" w:rsidRDefault="00157C27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</w:p>
    <w:tbl>
      <w:tblPr>
        <w:tblW w:w="8475" w:type="dxa"/>
        <w:jc w:val="center"/>
        <w:tblLook w:val="04A0" w:firstRow="1" w:lastRow="0" w:firstColumn="1" w:lastColumn="0" w:noHBand="0" w:noVBand="1"/>
      </w:tblPr>
      <w:tblGrid>
        <w:gridCol w:w="3280"/>
        <w:gridCol w:w="2483"/>
        <w:gridCol w:w="1806"/>
        <w:gridCol w:w="906"/>
      </w:tblGrid>
      <w:tr w:rsidR="00636F62" w:rsidRPr="00157C27" w14:paraId="79AF5CA0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hideMark/>
          </w:tcPr>
          <w:p w14:paraId="0AD19B19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Service Area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hideMark/>
          </w:tcPr>
          <w:p w14:paraId="2637C7EE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57C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total_transaction_count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hideMark/>
          </w:tcPr>
          <w:p w14:paraId="44FDB1A1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57C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average_amount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hideMark/>
          </w:tcPr>
          <w:p w14:paraId="539441DB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Cluster</w:t>
            </w:r>
          </w:p>
        </w:tc>
      </w:tr>
      <w:tr w:rsidR="00636F62" w:rsidRPr="00157C27" w14:paraId="0A1D8AF2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6B1D3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Street Scene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0DAEB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39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B5F89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 64.93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182CCF68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36F62" w:rsidRPr="00157C27" w14:paraId="070FAFC6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8284D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Strategic Commissioning Board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EE943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7A0A2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244.00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2BCA32E8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36F62" w:rsidRPr="00157C27" w14:paraId="7830ECFA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6E8F6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Regional Enterprise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421BF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F8A50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375.40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4EE9BE28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36F62" w:rsidRPr="00157C27" w14:paraId="72AADDE9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03AF8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Public Health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2F139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CC2DE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   0.73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47DC8A1A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36F62" w:rsidRPr="00157C27" w14:paraId="74F0AEFF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02503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Parking &amp; Infrastructure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8B730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870C6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156.18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681B2894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36F62" w:rsidRPr="00157C27" w14:paraId="428C8D81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668CB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NSCSO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F0CD5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C4676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151.83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72E7D2BD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36F62" w:rsidRPr="00157C27" w14:paraId="0B527465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D569F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Internal Audit &amp; CAFT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0D38C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08E21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 65.10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022973F7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36F62" w:rsidRPr="00157C27" w14:paraId="072221BD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7F9DE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Streetscene</w:t>
            </w:r>
            <w:proofErr w:type="spellEnd"/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9ACCD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257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72C6F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172.74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34F070BF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</w:tr>
      <w:tr w:rsidR="00636F62" w:rsidRPr="00157C27" w14:paraId="05BC950F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4F4AD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Children's Family Services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B6058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5318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C0576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 65.55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4F3A2C26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636F62" w:rsidRPr="00157C27" w14:paraId="57297D03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F1F77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Customer Support Group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6E8DB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96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FDE1F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1,548.85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0B690675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</w:tr>
      <w:tr w:rsidR="00636F62" w:rsidRPr="00157C27" w14:paraId="7FDE3280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DB301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CSG Managed Budget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9222D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36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0F914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1,971.84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4B406136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</w:tr>
      <w:tr w:rsidR="00636F62" w:rsidRPr="00157C27" w14:paraId="7648C002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44932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Governance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8BDD4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776D5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1,780.31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5076BD4B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</w:tr>
      <w:tr w:rsidR="00636F62" w:rsidRPr="00157C27" w14:paraId="2B9FFEAB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AFDCB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Family Services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73255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770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BBB2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 62.31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7C678D2D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</w:tr>
      <w:tr w:rsidR="00636F62" w:rsidRPr="00157C27" w14:paraId="344A3164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9C1C2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Children's Education &amp; Skills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B0EF0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642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8D065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 95.41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06EFB046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</w:tr>
      <w:tr w:rsidR="00636F62" w:rsidRPr="00157C27" w14:paraId="33B84B34" w14:textId="77777777" w:rsidTr="00400DAF">
        <w:trPr>
          <w:trHeight w:val="30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59981" w14:textId="77777777" w:rsidR="00636F62" w:rsidRPr="00157C27" w:rsidRDefault="00636F62" w:rsidP="00400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Childrens</w:t>
            </w:r>
            <w:proofErr w:type="spellEnd"/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Services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EAAF9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1297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20CBE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 70.63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hideMark/>
          </w:tcPr>
          <w:p w14:paraId="274F9949" w14:textId="77777777" w:rsidR="00636F62" w:rsidRPr="00157C27" w:rsidRDefault="00636F62" w:rsidP="00400D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57C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</w:tr>
    </w:tbl>
    <w:p w14:paraId="5AEC4DDD" w14:textId="2BBBF751" w:rsidR="00685746" w:rsidRDefault="00685746">
      <w:pPr>
        <w:rPr>
          <w:rFonts w:ascii="Arial" w:hAnsi="Arial" w:cs="Arial"/>
          <w:sz w:val="22"/>
          <w:szCs w:val="22"/>
        </w:rPr>
      </w:pPr>
    </w:p>
    <w:p w14:paraId="1F61E925" w14:textId="4E959119" w:rsidR="004075BA" w:rsidRPr="006D206A" w:rsidRDefault="006934BD" w:rsidP="006D206A">
      <w:pPr>
        <w:pStyle w:val="ListParagraph"/>
        <w:numPr>
          <w:ilvl w:val="0"/>
          <w:numId w:val="2"/>
        </w:numPr>
        <w:spacing w:after="0" w:line="240" w:lineRule="auto"/>
        <w:ind w:left="364"/>
        <w:outlineLvl w:val="0"/>
        <w:rPr>
          <w:rFonts w:ascii="Arial" w:hAnsi="Arial" w:cs="Arial"/>
          <w:b/>
          <w:bCs/>
          <w:sz w:val="28"/>
          <w:szCs w:val="28"/>
        </w:rPr>
      </w:pPr>
      <w:bookmarkStart w:id="1" w:name="_Toc172580911"/>
      <w:r w:rsidRPr="006D206A">
        <w:rPr>
          <w:rFonts w:ascii="Arial" w:hAnsi="Arial" w:cs="Arial"/>
          <w:b/>
          <w:bCs/>
          <w:sz w:val="28"/>
          <w:szCs w:val="28"/>
        </w:rPr>
        <w:t>Ano</w:t>
      </w:r>
      <w:r w:rsidR="00701090" w:rsidRPr="006D206A">
        <w:rPr>
          <w:rFonts w:ascii="Arial" w:hAnsi="Arial" w:cs="Arial"/>
          <w:b/>
          <w:bCs/>
          <w:sz w:val="28"/>
          <w:szCs w:val="28"/>
        </w:rPr>
        <w:t>malous Transactions</w:t>
      </w:r>
      <w:bookmarkEnd w:id="1"/>
    </w:p>
    <w:p w14:paraId="5FBA47D7" w14:textId="77777777" w:rsidR="00E97477" w:rsidRDefault="00E97477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</w:p>
    <w:p w14:paraId="574C78D9" w14:textId="2A2BE980" w:rsidR="00E97477" w:rsidRDefault="006E7B1C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With limited negative transaction amounts, m</w:t>
      </w:r>
      <w:r w:rsidR="00E97477">
        <w:rPr>
          <w:rFonts w:ascii="Arial" w:hAnsi="Arial" w:cs="Arial"/>
          <w:sz w:val="22"/>
          <w:szCs w:val="22"/>
        </w:rPr>
        <w:t xml:space="preserve">ost service areas </w:t>
      </w:r>
      <w:r w:rsidR="00C4244E">
        <w:rPr>
          <w:rFonts w:ascii="Arial" w:hAnsi="Arial" w:cs="Arial"/>
          <w:sz w:val="22"/>
          <w:szCs w:val="22"/>
        </w:rPr>
        <w:t xml:space="preserve">have transaction amounts follow </w:t>
      </w:r>
      <w:r w:rsidR="0085406C">
        <w:rPr>
          <w:rFonts w:ascii="Arial" w:hAnsi="Arial" w:cs="Arial"/>
          <w:sz w:val="22"/>
          <w:szCs w:val="22"/>
        </w:rPr>
        <w:t>positively skewed distributions</w:t>
      </w:r>
      <w:r w:rsidR="003718C3">
        <w:rPr>
          <w:rFonts w:ascii="Arial" w:hAnsi="Arial" w:cs="Arial"/>
          <w:sz w:val="22"/>
          <w:szCs w:val="22"/>
        </w:rPr>
        <w:t xml:space="preserve">. The skewed sides, however, </w:t>
      </w:r>
      <w:r w:rsidR="009F1E56">
        <w:rPr>
          <w:rFonts w:ascii="Arial" w:hAnsi="Arial" w:cs="Arial"/>
          <w:sz w:val="22"/>
          <w:szCs w:val="22"/>
        </w:rPr>
        <w:t xml:space="preserve">look </w:t>
      </w:r>
      <w:r w:rsidR="00300625">
        <w:rPr>
          <w:rFonts w:ascii="Arial" w:hAnsi="Arial" w:cs="Arial"/>
          <w:sz w:val="22"/>
          <w:szCs w:val="22"/>
        </w:rPr>
        <w:t>like</w:t>
      </w:r>
      <w:r w:rsidR="009F1E56">
        <w:rPr>
          <w:rFonts w:ascii="Arial" w:hAnsi="Arial" w:cs="Arial"/>
          <w:sz w:val="22"/>
          <w:szCs w:val="22"/>
        </w:rPr>
        <w:t xml:space="preserve"> the shape of normal distributions</w:t>
      </w:r>
      <w:r w:rsidR="00747961">
        <w:rPr>
          <w:rFonts w:ascii="Arial" w:hAnsi="Arial" w:cs="Arial"/>
          <w:sz w:val="22"/>
          <w:szCs w:val="22"/>
        </w:rPr>
        <w:t xml:space="preserve"> with flattened tails toward the end</w:t>
      </w:r>
      <w:r w:rsidR="009F1E56">
        <w:rPr>
          <w:rFonts w:ascii="Arial" w:hAnsi="Arial" w:cs="Arial"/>
          <w:sz w:val="22"/>
          <w:szCs w:val="22"/>
        </w:rPr>
        <w:t>.</w:t>
      </w:r>
    </w:p>
    <w:p w14:paraId="00C560DE" w14:textId="77777777" w:rsidR="00756455" w:rsidRDefault="00756455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</w:p>
    <w:p w14:paraId="3FEE9AFD" w14:textId="11B44A7F" w:rsidR="00756455" w:rsidRDefault="00756455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tried different anomaly detection techniques</w:t>
      </w:r>
      <w:r w:rsidR="00F10AA3">
        <w:rPr>
          <w:rFonts w:ascii="Arial" w:hAnsi="Arial" w:cs="Arial"/>
          <w:sz w:val="22"/>
          <w:szCs w:val="22"/>
        </w:rPr>
        <w:t xml:space="preserve"> (z-score </w:t>
      </w:r>
      <w:r w:rsidR="00C05FFE">
        <w:rPr>
          <w:rFonts w:ascii="Arial" w:hAnsi="Arial" w:cs="Arial"/>
          <w:sz w:val="22"/>
          <w:szCs w:val="22"/>
        </w:rPr>
        <w:t>of normal distribution, z-score of log-normal distribution, and Isolation Forest)</w:t>
      </w:r>
      <w:r>
        <w:rPr>
          <w:rFonts w:ascii="Arial" w:hAnsi="Arial" w:cs="Arial"/>
          <w:sz w:val="22"/>
          <w:szCs w:val="22"/>
        </w:rPr>
        <w:t xml:space="preserve"> and decided that z-score </w:t>
      </w:r>
      <w:r w:rsidR="002D7714">
        <w:rPr>
          <w:rFonts w:ascii="Arial" w:hAnsi="Arial" w:cs="Arial"/>
          <w:sz w:val="22"/>
          <w:szCs w:val="22"/>
        </w:rPr>
        <w:t>of normal distribution</w:t>
      </w:r>
      <w:r w:rsidR="000B273F">
        <w:rPr>
          <w:rFonts w:ascii="Arial" w:hAnsi="Arial" w:cs="Arial"/>
          <w:sz w:val="22"/>
          <w:szCs w:val="22"/>
        </w:rPr>
        <w:t xml:space="preserve"> is the most appropriate for this </w:t>
      </w:r>
      <w:r w:rsidR="00952FE0">
        <w:rPr>
          <w:rFonts w:ascii="Arial" w:hAnsi="Arial" w:cs="Arial"/>
          <w:sz w:val="22"/>
          <w:szCs w:val="22"/>
        </w:rPr>
        <w:t xml:space="preserve">merged </w:t>
      </w:r>
      <w:r w:rsidR="000B273F">
        <w:rPr>
          <w:rFonts w:ascii="Arial" w:hAnsi="Arial" w:cs="Arial"/>
          <w:sz w:val="22"/>
          <w:szCs w:val="22"/>
        </w:rPr>
        <w:t>dataset.</w:t>
      </w:r>
      <w:r w:rsidR="00EB130D">
        <w:rPr>
          <w:rFonts w:ascii="Arial" w:hAnsi="Arial" w:cs="Arial"/>
          <w:sz w:val="22"/>
          <w:szCs w:val="22"/>
        </w:rPr>
        <w:t xml:space="preserve"> </w:t>
      </w:r>
      <w:r w:rsidR="0026234A">
        <w:rPr>
          <w:rFonts w:ascii="Arial" w:hAnsi="Arial" w:cs="Arial"/>
          <w:sz w:val="22"/>
          <w:szCs w:val="22"/>
        </w:rPr>
        <w:t>Thus, t</w:t>
      </w:r>
      <w:r w:rsidR="00EB130D">
        <w:rPr>
          <w:rFonts w:ascii="Arial" w:hAnsi="Arial" w:cs="Arial"/>
          <w:sz w:val="22"/>
          <w:szCs w:val="22"/>
        </w:rPr>
        <w:t>ransactions with amounts beyond 3 standard deviations are considered ano</w:t>
      </w:r>
      <w:r w:rsidR="0026234A">
        <w:rPr>
          <w:rFonts w:ascii="Arial" w:hAnsi="Arial" w:cs="Arial"/>
          <w:sz w:val="22"/>
          <w:szCs w:val="22"/>
        </w:rPr>
        <w:t>malous. Since the data is somewhat right skewed</w:t>
      </w:r>
      <w:r w:rsidR="00E669F3">
        <w:rPr>
          <w:rFonts w:ascii="Arial" w:hAnsi="Arial" w:cs="Arial"/>
          <w:sz w:val="22"/>
          <w:szCs w:val="22"/>
        </w:rPr>
        <w:t xml:space="preserve">, we can increase the threshold of 3 standard deviations </w:t>
      </w:r>
      <w:r w:rsidR="0001158C">
        <w:rPr>
          <w:rFonts w:ascii="Arial" w:hAnsi="Arial" w:cs="Arial"/>
          <w:sz w:val="22"/>
          <w:szCs w:val="22"/>
        </w:rPr>
        <w:t xml:space="preserve">to the right side </w:t>
      </w:r>
      <w:r w:rsidR="00E669F3">
        <w:rPr>
          <w:rFonts w:ascii="Arial" w:hAnsi="Arial" w:cs="Arial"/>
          <w:sz w:val="22"/>
          <w:szCs w:val="22"/>
        </w:rPr>
        <w:t xml:space="preserve">if we </w:t>
      </w:r>
      <w:r w:rsidR="00952FE0">
        <w:rPr>
          <w:rFonts w:ascii="Arial" w:hAnsi="Arial" w:cs="Arial"/>
          <w:sz w:val="22"/>
          <w:szCs w:val="22"/>
        </w:rPr>
        <w:t>need</w:t>
      </w:r>
      <w:r w:rsidR="00E669F3">
        <w:rPr>
          <w:rFonts w:ascii="Arial" w:hAnsi="Arial" w:cs="Arial"/>
          <w:sz w:val="22"/>
          <w:szCs w:val="22"/>
        </w:rPr>
        <w:t xml:space="preserve"> to limit </w:t>
      </w:r>
      <w:r w:rsidR="0001158C">
        <w:rPr>
          <w:rFonts w:ascii="Arial" w:hAnsi="Arial" w:cs="Arial"/>
          <w:sz w:val="22"/>
          <w:szCs w:val="22"/>
        </w:rPr>
        <w:t>the number of detected anomalies.</w:t>
      </w:r>
      <w:r w:rsidR="00FC7E82">
        <w:rPr>
          <w:rFonts w:ascii="Arial" w:hAnsi="Arial" w:cs="Arial"/>
          <w:sz w:val="22"/>
          <w:szCs w:val="22"/>
        </w:rPr>
        <w:br/>
      </w:r>
    </w:p>
    <w:p w14:paraId="1D0E3648" w14:textId="109109D0" w:rsidR="00FC7E82" w:rsidRDefault="00FC7E82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total, 172 anomalous transactions are noted.</w:t>
      </w:r>
      <w:r w:rsidR="00A06933">
        <w:rPr>
          <w:rFonts w:ascii="Arial" w:hAnsi="Arial" w:cs="Arial"/>
          <w:sz w:val="22"/>
          <w:szCs w:val="22"/>
        </w:rPr>
        <w:t xml:space="preserve"> You can see</w:t>
      </w:r>
      <w:r w:rsidR="00B73D67">
        <w:rPr>
          <w:rFonts w:ascii="Arial" w:hAnsi="Arial" w:cs="Arial"/>
          <w:sz w:val="22"/>
          <w:szCs w:val="22"/>
        </w:rPr>
        <w:t xml:space="preserve"> them in</w:t>
      </w:r>
      <w:r w:rsidR="00A06933">
        <w:rPr>
          <w:rFonts w:ascii="Arial" w:hAnsi="Arial" w:cs="Arial"/>
          <w:sz w:val="22"/>
          <w:szCs w:val="22"/>
        </w:rPr>
        <w:t xml:space="preserve"> the listing attached below.</w:t>
      </w:r>
      <w:r w:rsidR="00670ABB">
        <w:rPr>
          <w:rFonts w:ascii="Arial" w:hAnsi="Arial" w:cs="Arial"/>
          <w:sz w:val="22"/>
          <w:szCs w:val="22"/>
        </w:rPr>
        <w:t xml:space="preserve"> Please be aware that due to differences in numbers of transactions</w:t>
      </w:r>
      <w:r w:rsidR="00A2529A">
        <w:rPr>
          <w:rFonts w:ascii="Arial" w:hAnsi="Arial" w:cs="Arial"/>
          <w:sz w:val="22"/>
          <w:szCs w:val="22"/>
        </w:rPr>
        <w:t xml:space="preserve"> and underlying patterns</w:t>
      </w:r>
      <w:r w:rsidR="00670ABB">
        <w:rPr>
          <w:rFonts w:ascii="Arial" w:hAnsi="Arial" w:cs="Arial"/>
          <w:sz w:val="22"/>
          <w:szCs w:val="22"/>
        </w:rPr>
        <w:t xml:space="preserve"> </w:t>
      </w:r>
      <w:r w:rsidR="0061674F">
        <w:rPr>
          <w:rFonts w:ascii="Arial" w:hAnsi="Arial" w:cs="Arial"/>
          <w:sz w:val="22"/>
          <w:szCs w:val="22"/>
        </w:rPr>
        <w:t xml:space="preserve">among service areas, service areas </w:t>
      </w:r>
      <w:r w:rsidR="00BA5C5D">
        <w:rPr>
          <w:rFonts w:ascii="Arial" w:hAnsi="Arial" w:cs="Arial"/>
          <w:sz w:val="22"/>
          <w:szCs w:val="22"/>
        </w:rPr>
        <w:t>that have only few transactions do not have anomalies</w:t>
      </w:r>
      <w:r w:rsidR="00362CD7">
        <w:rPr>
          <w:rFonts w:ascii="Arial" w:hAnsi="Arial" w:cs="Arial"/>
          <w:sz w:val="22"/>
          <w:szCs w:val="22"/>
        </w:rPr>
        <w:t xml:space="preserve"> or only have few anomalies</w:t>
      </w:r>
      <w:r w:rsidR="00BA5C5D">
        <w:rPr>
          <w:rFonts w:ascii="Arial" w:hAnsi="Arial" w:cs="Arial"/>
          <w:sz w:val="22"/>
          <w:szCs w:val="22"/>
        </w:rPr>
        <w:t xml:space="preserve"> represent</w:t>
      </w:r>
      <w:r w:rsidR="00A2529A">
        <w:rPr>
          <w:rFonts w:ascii="Arial" w:hAnsi="Arial" w:cs="Arial"/>
          <w:sz w:val="22"/>
          <w:szCs w:val="22"/>
        </w:rPr>
        <w:t>ing in the anomaly list</w:t>
      </w:r>
      <w:r w:rsidR="000F44B6">
        <w:rPr>
          <w:rFonts w:ascii="Arial" w:hAnsi="Arial" w:cs="Arial"/>
          <w:sz w:val="22"/>
          <w:szCs w:val="22"/>
        </w:rPr>
        <w:t xml:space="preserve"> (see the scatter plots of </w:t>
      </w:r>
      <w:r w:rsidR="00A67734">
        <w:rPr>
          <w:rFonts w:ascii="Arial" w:hAnsi="Arial" w:cs="Arial"/>
          <w:sz w:val="22"/>
          <w:szCs w:val="22"/>
        </w:rPr>
        <w:t>“</w:t>
      </w:r>
      <w:r w:rsidR="000F44B6">
        <w:rPr>
          <w:rFonts w:ascii="Arial" w:hAnsi="Arial" w:cs="Arial"/>
          <w:sz w:val="22"/>
          <w:szCs w:val="22"/>
        </w:rPr>
        <w:t>Assurance</w:t>
      </w:r>
      <w:r w:rsidR="00A67734">
        <w:rPr>
          <w:rFonts w:ascii="Arial" w:hAnsi="Arial" w:cs="Arial"/>
          <w:sz w:val="22"/>
          <w:szCs w:val="22"/>
        </w:rPr>
        <w:t>”</w:t>
      </w:r>
      <w:r w:rsidR="000F44B6">
        <w:rPr>
          <w:rFonts w:ascii="Arial" w:hAnsi="Arial" w:cs="Arial"/>
          <w:sz w:val="22"/>
          <w:szCs w:val="22"/>
        </w:rPr>
        <w:t xml:space="preserve"> and </w:t>
      </w:r>
      <w:r w:rsidR="00A67734">
        <w:rPr>
          <w:rFonts w:ascii="Arial" w:hAnsi="Arial" w:cs="Arial"/>
          <w:sz w:val="22"/>
          <w:szCs w:val="22"/>
        </w:rPr>
        <w:t>“</w:t>
      </w:r>
      <w:r w:rsidR="000F44B6">
        <w:rPr>
          <w:rFonts w:ascii="Arial" w:hAnsi="Arial" w:cs="Arial"/>
          <w:sz w:val="22"/>
          <w:szCs w:val="22"/>
        </w:rPr>
        <w:t>NSCSO</w:t>
      </w:r>
      <w:r w:rsidR="00A67734">
        <w:rPr>
          <w:rFonts w:ascii="Arial" w:hAnsi="Arial" w:cs="Arial"/>
          <w:sz w:val="22"/>
          <w:szCs w:val="22"/>
        </w:rPr>
        <w:t>”</w:t>
      </w:r>
      <w:r w:rsidR="000F44B6">
        <w:rPr>
          <w:rFonts w:ascii="Arial" w:hAnsi="Arial" w:cs="Arial"/>
          <w:sz w:val="22"/>
          <w:szCs w:val="22"/>
        </w:rPr>
        <w:t xml:space="preserve"> </w:t>
      </w:r>
      <w:r w:rsidR="006D206A">
        <w:rPr>
          <w:rFonts w:ascii="Arial" w:hAnsi="Arial" w:cs="Arial"/>
          <w:sz w:val="22"/>
          <w:szCs w:val="22"/>
        </w:rPr>
        <w:t>next page</w:t>
      </w:r>
      <w:r w:rsidR="000F44B6">
        <w:rPr>
          <w:rFonts w:ascii="Arial" w:hAnsi="Arial" w:cs="Arial"/>
          <w:sz w:val="22"/>
          <w:szCs w:val="22"/>
        </w:rPr>
        <w:t>)</w:t>
      </w:r>
      <w:r w:rsidR="00362CD7">
        <w:rPr>
          <w:rFonts w:ascii="Arial" w:hAnsi="Arial" w:cs="Arial"/>
          <w:sz w:val="22"/>
          <w:szCs w:val="22"/>
        </w:rPr>
        <w:t>.</w:t>
      </w:r>
      <w:r w:rsidR="000F44B6">
        <w:rPr>
          <w:rFonts w:ascii="Arial" w:hAnsi="Arial" w:cs="Arial"/>
          <w:sz w:val="22"/>
          <w:szCs w:val="22"/>
        </w:rPr>
        <w:t xml:space="preserve"> On the other hand, service areas with large </w:t>
      </w:r>
      <w:r w:rsidR="00414AA1">
        <w:rPr>
          <w:rFonts w:ascii="Arial" w:hAnsi="Arial" w:cs="Arial"/>
          <w:sz w:val="22"/>
          <w:szCs w:val="22"/>
        </w:rPr>
        <w:t>numbers of transactions and great variability within transaction amounts have more anomalous transactions detected (</w:t>
      </w:r>
      <w:r w:rsidR="00A67734">
        <w:rPr>
          <w:rFonts w:ascii="Arial" w:hAnsi="Arial" w:cs="Arial"/>
          <w:sz w:val="22"/>
          <w:szCs w:val="22"/>
        </w:rPr>
        <w:t>e.g., see the scatter plot of “Children’s Family Services”</w:t>
      </w:r>
      <w:r w:rsidR="006D206A">
        <w:rPr>
          <w:rFonts w:ascii="Arial" w:hAnsi="Arial" w:cs="Arial"/>
          <w:sz w:val="22"/>
          <w:szCs w:val="22"/>
        </w:rPr>
        <w:t xml:space="preserve"> below</w:t>
      </w:r>
      <w:r w:rsidR="00A67734">
        <w:rPr>
          <w:rFonts w:ascii="Arial" w:hAnsi="Arial" w:cs="Arial"/>
          <w:sz w:val="22"/>
          <w:szCs w:val="22"/>
        </w:rPr>
        <w:t>).</w:t>
      </w:r>
    </w:p>
    <w:bookmarkStart w:id="2" w:name="_MON_1783192849"/>
    <w:bookmarkEnd w:id="2"/>
    <w:p w14:paraId="73CC7F4B" w14:textId="06C71CA2" w:rsidR="00300625" w:rsidRDefault="00012F72" w:rsidP="00A21C90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541" w:dyaOrig="998" w14:anchorId="3BA91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50.25pt" o:ole="">
            <v:imagedata r:id="rId9" o:title=""/>
          </v:shape>
          <o:OLEObject Type="Embed" ProgID="Excel.Sheet.12" ShapeID="_x0000_i1028" DrawAspect="Icon" ObjectID="_1795369461" r:id="rId10"/>
        </w:object>
      </w:r>
    </w:p>
    <w:p w14:paraId="283EAC72" w14:textId="77777777" w:rsidR="006813D5" w:rsidRDefault="006813D5" w:rsidP="00A21C90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50DED5AD" w14:textId="77777777" w:rsidR="006813D5" w:rsidRDefault="006813D5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</w:p>
    <w:p w14:paraId="50996219" w14:textId="5D55AE0D" w:rsidR="00B919B7" w:rsidRDefault="00A0779F" w:rsidP="003B0F8A">
      <w:pPr>
        <w:spacing w:after="0" w:line="240" w:lineRule="auto"/>
        <w:ind w:left="4"/>
        <w:jc w:val="center"/>
        <w:rPr>
          <w:rFonts w:ascii="Arial" w:hAnsi="Arial" w:cs="Arial"/>
          <w:sz w:val="22"/>
          <w:szCs w:val="22"/>
        </w:rPr>
      </w:pPr>
      <w:r w:rsidRPr="00A0779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030290" wp14:editId="712D7E35">
            <wp:extent cx="5943600" cy="2769870"/>
            <wp:effectExtent l="0" t="0" r="0" b="0"/>
            <wp:docPr id="1887497106" name="Picture 1" descr="A graph of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97106" name="Picture 1" descr="A graph of numbers and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2D09" w14:textId="610CDCC2" w:rsidR="007D7A5F" w:rsidRDefault="007D7A5F" w:rsidP="003B0F8A">
      <w:pPr>
        <w:spacing w:after="0" w:line="240" w:lineRule="auto"/>
        <w:ind w:left="4"/>
        <w:jc w:val="center"/>
        <w:rPr>
          <w:rFonts w:ascii="Arial" w:hAnsi="Arial" w:cs="Arial"/>
          <w:sz w:val="22"/>
          <w:szCs w:val="22"/>
        </w:rPr>
      </w:pPr>
      <w:r w:rsidRPr="007D7A5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7DDF49" wp14:editId="790DB9BF">
            <wp:extent cx="5943600" cy="2757805"/>
            <wp:effectExtent l="0" t="0" r="0" b="4445"/>
            <wp:docPr id="1485283301" name="Picture 1" descr="A graph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3301" name="Picture 1" descr="A graph of numbers and a 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EE24" w14:textId="77777777" w:rsidR="00A21C90" w:rsidRDefault="00A21C90" w:rsidP="003B0F8A">
      <w:pPr>
        <w:spacing w:after="0" w:line="240" w:lineRule="auto"/>
        <w:ind w:left="4"/>
        <w:jc w:val="center"/>
        <w:rPr>
          <w:rFonts w:ascii="Arial" w:hAnsi="Arial" w:cs="Arial"/>
          <w:sz w:val="22"/>
          <w:szCs w:val="22"/>
        </w:rPr>
      </w:pPr>
    </w:p>
    <w:p w14:paraId="1D53F4D3" w14:textId="0B855142" w:rsidR="00B211C9" w:rsidRDefault="00B211C9" w:rsidP="003B0F8A">
      <w:pPr>
        <w:spacing w:after="0" w:line="240" w:lineRule="auto"/>
        <w:ind w:left="4"/>
        <w:jc w:val="center"/>
        <w:rPr>
          <w:rFonts w:ascii="Arial" w:hAnsi="Arial" w:cs="Arial"/>
          <w:sz w:val="22"/>
          <w:szCs w:val="22"/>
        </w:rPr>
      </w:pPr>
      <w:r w:rsidRPr="00B211C9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48B1204" wp14:editId="773CEAC8">
            <wp:extent cx="5943600" cy="3102610"/>
            <wp:effectExtent l="0" t="0" r="0" b="2540"/>
            <wp:docPr id="898236909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6909" name="Picture 1" descr="A graph with numbers and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2073" w14:textId="6D61E157" w:rsidR="00B919B7" w:rsidRPr="00A21C90" w:rsidRDefault="008C4C9F" w:rsidP="00F81A51">
      <w:pPr>
        <w:spacing w:after="0" w:line="240" w:lineRule="auto"/>
        <w:ind w:left="4"/>
        <w:rPr>
          <w:rFonts w:ascii="Arial" w:hAnsi="Arial" w:cs="Arial"/>
          <w:b/>
          <w:bCs/>
          <w:sz w:val="22"/>
          <w:szCs w:val="22"/>
        </w:rPr>
      </w:pPr>
      <w:r w:rsidRPr="00A21C90">
        <w:rPr>
          <w:rFonts w:ascii="Arial" w:hAnsi="Arial" w:cs="Arial"/>
          <w:b/>
          <w:bCs/>
          <w:sz w:val="22"/>
          <w:szCs w:val="22"/>
        </w:rPr>
        <w:t>Closing Note</w:t>
      </w:r>
    </w:p>
    <w:p w14:paraId="5182F3C4" w14:textId="77777777" w:rsidR="008C4C9F" w:rsidRDefault="008C4C9F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</w:p>
    <w:p w14:paraId="65AE7363" w14:textId="4C0E1144" w:rsidR="00B919B7" w:rsidRPr="002B3BB8" w:rsidRDefault="00B919B7" w:rsidP="00F81A51">
      <w:pPr>
        <w:spacing w:after="0" w:line="240" w:lineRule="auto"/>
        <w:ind w:left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find these </w:t>
      </w:r>
      <w:r w:rsidR="00BD0B15">
        <w:rPr>
          <w:rFonts w:ascii="Arial" w:hAnsi="Arial" w:cs="Arial"/>
          <w:sz w:val="22"/>
          <w:szCs w:val="22"/>
        </w:rPr>
        <w:t xml:space="preserve">visualizations and insights useful, we can productionize </w:t>
      </w:r>
      <w:r w:rsidR="002A71DD">
        <w:rPr>
          <w:rFonts w:ascii="Arial" w:hAnsi="Arial" w:cs="Arial"/>
          <w:sz w:val="22"/>
          <w:szCs w:val="22"/>
        </w:rPr>
        <w:t xml:space="preserve">this data analysis into </w:t>
      </w:r>
      <w:r w:rsidR="00BD0B15">
        <w:rPr>
          <w:rFonts w:ascii="Arial" w:hAnsi="Arial" w:cs="Arial"/>
          <w:sz w:val="22"/>
          <w:szCs w:val="22"/>
        </w:rPr>
        <w:t>automate</w:t>
      </w:r>
      <w:r w:rsidR="002A71DD">
        <w:rPr>
          <w:rFonts w:ascii="Arial" w:hAnsi="Arial" w:cs="Arial"/>
          <w:sz w:val="22"/>
          <w:szCs w:val="22"/>
        </w:rPr>
        <w:t xml:space="preserve">d </w:t>
      </w:r>
      <w:r w:rsidR="00636F62">
        <w:rPr>
          <w:rFonts w:ascii="Arial" w:hAnsi="Arial" w:cs="Arial"/>
          <w:sz w:val="22"/>
          <w:szCs w:val="22"/>
        </w:rPr>
        <w:t>BI solutions</w:t>
      </w:r>
      <w:r w:rsidR="002A71DD">
        <w:rPr>
          <w:rFonts w:ascii="Arial" w:hAnsi="Arial" w:cs="Arial"/>
          <w:sz w:val="22"/>
          <w:szCs w:val="22"/>
        </w:rPr>
        <w:t xml:space="preserve"> for continuous monitoring.</w:t>
      </w:r>
      <w:r w:rsidR="00DE4500">
        <w:rPr>
          <w:rFonts w:ascii="Arial" w:hAnsi="Arial" w:cs="Arial"/>
          <w:sz w:val="22"/>
          <w:szCs w:val="22"/>
        </w:rPr>
        <w:t xml:space="preserve"> Also, let me know if there </w:t>
      </w:r>
      <w:r w:rsidR="00964AE0">
        <w:rPr>
          <w:rFonts w:ascii="Arial" w:hAnsi="Arial" w:cs="Arial"/>
          <w:sz w:val="22"/>
          <w:szCs w:val="22"/>
        </w:rPr>
        <w:t>were</w:t>
      </w:r>
      <w:r w:rsidR="00DE4500">
        <w:rPr>
          <w:rFonts w:ascii="Arial" w:hAnsi="Arial" w:cs="Arial"/>
          <w:sz w:val="22"/>
          <w:szCs w:val="22"/>
        </w:rPr>
        <w:t xml:space="preserve"> areas you would like to analyze further.</w:t>
      </w:r>
    </w:p>
    <w:sectPr w:rsidR="00B919B7" w:rsidRPr="002B3BB8" w:rsidSect="00636F62">
      <w:pgSz w:w="15840" w:h="12240" w:orient="landscape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0871A" w14:textId="77777777" w:rsidR="00197377" w:rsidRDefault="00197377" w:rsidP="00531703">
      <w:pPr>
        <w:spacing w:after="0" w:line="240" w:lineRule="auto"/>
      </w:pPr>
      <w:r>
        <w:separator/>
      </w:r>
    </w:p>
  </w:endnote>
  <w:endnote w:type="continuationSeparator" w:id="0">
    <w:p w14:paraId="067B56F3" w14:textId="77777777" w:rsidR="00197377" w:rsidRDefault="00197377" w:rsidP="0053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EB41F" w14:textId="77777777" w:rsidR="00197377" w:rsidRDefault="00197377" w:rsidP="00531703">
      <w:pPr>
        <w:spacing w:after="0" w:line="240" w:lineRule="auto"/>
      </w:pPr>
      <w:r>
        <w:separator/>
      </w:r>
    </w:p>
  </w:footnote>
  <w:footnote w:type="continuationSeparator" w:id="0">
    <w:p w14:paraId="23BE4409" w14:textId="77777777" w:rsidR="00197377" w:rsidRDefault="00197377" w:rsidP="00531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1478"/>
    <w:multiLevelType w:val="multilevel"/>
    <w:tmpl w:val="CBE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EFF"/>
    <w:multiLevelType w:val="multilevel"/>
    <w:tmpl w:val="CC7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823BE"/>
    <w:multiLevelType w:val="hybridMultilevel"/>
    <w:tmpl w:val="6A72F4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F6BC6"/>
    <w:multiLevelType w:val="multilevel"/>
    <w:tmpl w:val="A9F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706AC"/>
    <w:multiLevelType w:val="hybridMultilevel"/>
    <w:tmpl w:val="D03E58DC"/>
    <w:lvl w:ilvl="0" w:tplc="0A9EAD96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662E6"/>
    <w:multiLevelType w:val="hybridMultilevel"/>
    <w:tmpl w:val="A5C61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D21A0"/>
    <w:multiLevelType w:val="multilevel"/>
    <w:tmpl w:val="74D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C3DF4"/>
    <w:multiLevelType w:val="multilevel"/>
    <w:tmpl w:val="FA92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A60E1"/>
    <w:multiLevelType w:val="multilevel"/>
    <w:tmpl w:val="DFA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67519"/>
    <w:multiLevelType w:val="multilevel"/>
    <w:tmpl w:val="FDB4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719AB"/>
    <w:multiLevelType w:val="multilevel"/>
    <w:tmpl w:val="CD2E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546053">
    <w:abstractNumId w:val="4"/>
  </w:num>
  <w:num w:numId="2" w16cid:durableId="70665078">
    <w:abstractNumId w:val="2"/>
  </w:num>
  <w:num w:numId="3" w16cid:durableId="2025477271">
    <w:abstractNumId w:val="8"/>
  </w:num>
  <w:num w:numId="4" w16cid:durableId="39214512">
    <w:abstractNumId w:val="9"/>
  </w:num>
  <w:num w:numId="5" w16cid:durableId="713966349">
    <w:abstractNumId w:val="0"/>
  </w:num>
  <w:num w:numId="6" w16cid:durableId="1313018901">
    <w:abstractNumId w:val="1"/>
  </w:num>
  <w:num w:numId="7" w16cid:durableId="1404646353">
    <w:abstractNumId w:val="6"/>
  </w:num>
  <w:num w:numId="8" w16cid:durableId="1622031675">
    <w:abstractNumId w:val="3"/>
  </w:num>
  <w:num w:numId="9" w16cid:durableId="810438807">
    <w:abstractNumId w:val="7"/>
  </w:num>
  <w:num w:numId="10" w16cid:durableId="685521373">
    <w:abstractNumId w:val="10"/>
  </w:num>
  <w:num w:numId="11" w16cid:durableId="1773090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0"/>
    <w:rsid w:val="00004556"/>
    <w:rsid w:val="00010976"/>
    <w:rsid w:val="0001158C"/>
    <w:rsid w:val="00011C5B"/>
    <w:rsid w:val="00012F72"/>
    <w:rsid w:val="00017160"/>
    <w:rsid w:val="00022803"/>
    <w:rsid w:val="00024029"/>
    <w:rsid w:val="000256DA"/>
    <w:rsid w:val="00032067"/>
    <w:rsid w:val="000322A6"/>
    <w:rsid w:val="00052ABA"/>
    <w:rsid w:val="00070710"/>
    <w:rsid w:val="00073A48"/>
    <w:rsid w:val="0008767C"/>
    <w:rsid w:val="00087B90"/>
    <w:rsid w:val="000A5291"/>
    <w:rsid w:val="000B1002"/>
    <w:rsid w:val="000B218B"/>
    <w:rsid w:val="000B273F"/>
    <w:rsid w:val="000B55B8"/>
    <w:rsid w:val="000B7B5E"/>
    <w:rsid w:val="000C1C6F"/>
    <w:rsid w:val="000C4067"/>
    <w:rsid w:val="000D3EFE"/>
    <w:rsid w:val="000D67A2"/>
    <w:rsid w:val="000D6A71"/>
    <w:rsid w:val="000D7682"/>
    <w:rsid w:val="000E0A39"/>
    <w:rsid w:val="000E3A72"/>
    <w:rsid w:val="000E5E18"/>
    <w:rsid w:val="000F10FD"/>
    <w:rsid w:val="000F1F4A"/>
    <w:rsid w:val="000F3651"/>
    <w:rsid w:val="000F44B6"/>
    <w:rsid w:val="000F45C1"/>
    <w:rsid w:val="000F6D3E"/>
    <w:rsid w:val="0012147D"/>
    <w:rsid w:val="00126F6B"/>
    <w:rsid w:val="00133656"/>
    <w:rsid w:val="00154320"/>
    <w:rsid w:val="0015521A"/>
    <w:rsid w:val="00155763"/>
    <w:rsid w:val="00157BEA"/>
    <w:rsid w:val="00157C27"/>
    <w:rsid w:val="00166E77"/>
    <w:rsid w:val="0016729D"/>
    <w:rsid w:val="0017173B"/>
    <w:rsid w:val="001776BC"/>
    <w:rsid w:val="001832B5"/>
    <w:rsid w:val="00190875"/>
    <w:rsid w:val="00195EED"/>
    <w:rsid w:val="00197377"/>
    <w:rsid w:val="001B7A9A"/>
    <w:rsid w:val="001C0780"/>
    <w:rsid w:val="001C1CE7"/>
    <w:rsid w:val="001C7F88"/>
    <w:rsid w:val="001D0A9C"/>
    <w:rsid w:val="001D7C4C"/>
    <w:rsid w:val="001E216E"/>
    <w:rsid w:val="001E3FE5"/>
    <w:rsid w:val="001E7305"/>
    <w:rsid w:val="002315F8"/>
    <w:rsid w:val="0025107A"/>
    <w:rsid w:val="00252742"/>
    <w:rsid w:val="0026234A"/>
    <w:rsid w:val="00262DCD"/>
    <w:rsid w:val="00265C4C"/>
    <w:rsid w:val="00277E41"/>
    <w:rsid w:val="00283B99"/>
    <w:rsid w:val="002A71DD"/>
    <w:rsid w:val="002B1693"/>
    <w:rsid w:val="002B3BB8"/>
    <w:rsid w:val="002B4CFE"/>
    <w:rsid w:val="002C4C04"/>
    <w:rsid w:val="002D5ADB"/>
    <w:rsid w:val="002D7714"/>
    <w:rsid w:val="002E5A8D"/>
    <w:rsid w:val="002F2467"/>
    <w:rsid w:val="002F7BF7"/>
    <w:rsid w:val="00300625"/>
    <w:rsid w:val="00300F5A"/>
    <w:rsid w:val="00301D5F"/>
    <w:rsid w:val="00306DE8"/>
    <w:rsid w:val="00311C10"/>
    <w:rsid w:val="0033373A"/>
    <w:rsid w:val="00362CD7"/>
    <w:rsid w:val="00363081"/>
    <w:rsid w:val="003653A9"/>
    <w:rsid w:val="003718C3"/>
    <w:rsid w:val="00384F8B"/>
    <w:rsid w:val="00384FFD"/>
    <w:rsid w:val="00385866"/>
    <w:rsid w:val="00387865"/>
    <w:rsid w:val="00394EA7"/>
    <w:rsid w:val="003A2842"/>
    <w:rsid w:val="003A2B31"/>
    <w:rsid w:val="003B0F8A"/>
    <w:rsid w:val="003C0D01"/>
    <w:rsid w:val="003D7A65"/>
    <w:rsid w:val="003E74C7"/>
    <w:rsid w:val="0040012D"/>
    <w:rsid w:val="004075BA"/>
    <w:rsid w:val="00414843"/>
    <w:rsid w:val="00414AA1"/>
    <w:rsid w:val="00426559"/>
    <w:rsid w:val="00426971"/>
    <w:rsid w:val="0043721E"/>
    <w:rsid w:val="00441D68"/>
    <w:rsid w:val="00465030"/>
    <w:rsid w:val="00490781"/>
    <w:rsid w:val="004B3F7D"/>
    <w:rsid w:val="004E4696"/>
    <w:rsid w:val="004F4768"/>
    <w:rsid w:val="0050478D"/>
    <w:rsid w:val="00506CEA"/>
    <w:rsid w:val="00512C91"/>
    <w:rsid w:val="00517CB5"/>
    <w:rsid w:val="005208E7"/>
    <w:rsid w:val="005301E4"/>
    <w:rsid w:val="00531703"/>
    <w:rsid w:val="0054669A"/>
    <w:rsid w:val="00592A0F"/>
    <w:rsid w:val="005B2E29"/>
    <w:rsid w:val="005B308C"/>
    <w:rsid w:val="005B4B90"/>
    <w:rsid w:val="005C696B"/>
    <w:rsid w:val="005D6E59"/>
    <w:rsid w:val="005E5557"/>
    <w:rsid w:val="005F1E66"/>
    <w:rsid w:val="005F66A3"/>
    <w:rsid w:val="006159E5"/>
    <w:rsid w:val="0061674F"/>
    <w:rsid w:val="006226C1"/>
    <w:rsid w:val="006317FB"/>
    <w:rsid w:val="00636A66"/>
    <w:rsid w:val="00636F62"/>
    <w:rsid w:val="00646AB2"/>
    <w:rsid w:val="00656D5D"/>
    <w:rsid w:val="00661018"/>
    <w:rsid w:val="00663C75"/>
    <w:rsid w:val="006640E9"/>
    <w:rsid w:val="00670ABB"/>
    <w:rsid w:val="00673834"/>
    <w:rsid w:val="00673FAA"/>
    <w:rsid w:val="006813D5"/>
    <w:rsid w:val="00685746"/>
    <w:rsid w:val="006934BD"/>
    <w:rsid w:val="006A6252"/>
    <w:rsid w:val="006C3C9A"/>
    <w:rsid w:val="006C7682"/>
    <w:rsid w:val="006D206A"/>
    <w:rsid w:val="006E7B1C"/>
    <w:rsid w:val="00701090"/>
    <w:rsid w:val="00711CCB"/>
    <w:rsid w:val="00717B1C"/>
    <w:rsid w:val="00727FA3"/>
    <w:rsid w:val="00730C04"/>
    <w:rsid w:val="00730D8D"/>
    <w:rsid w:val="007350D3"/>
    <w:rsid w:val="00743F0F"/>
    <w:rsid w:val="00746D49"/>
    <w:rsid w:val="00747961"/>
    <w:rsid w:val="00756455"/>
    <w:rsid w:val="00785E61"/>
    <w:rsid w:val="00787F16"/>
    <w:rsid w:val="00791A7E"/>
    <w:rsid w:val="0079430C"/>
    <w:rsid w:val="007B3579"/>
    <w:rsid w:val="007B7867"/>
    <w:rsid w:val="007D5112"/>
    <w:rsid w:val="007D5CA6"/>
    <w:rsid w:val="007D7A5F"/>
    <w:rsid w:val="007F1F4A"/>
    <w:rsid w:val="007F78E5"/>
    <w:rsid w:val="00806BC2"/>
    <w:rsid w:val="008074C7"/>
    <w:rsid w:val="00810858"/>
    <w:rsid w:val="0082500E"/>
    <w:rsid w:val="00825A17"/>
    <w:rsid w:val="00830159"/>
    <w:rsid w:val="00835BCD"/>
    <w:rsid w:val="00842C05"/>
    <w:rsid w:val="00851B9B"/>
    <w:rsid w:val="0085406C"/>
    <w:rsid w:val="008546EE"/>
    <w:rsid w:val="00865066"/>
    <w:rsid w:val="0088050D"/>
    <w:rsid w:val="008818AF"/>
    <w:rsid w:val="00887BED"/>
    <w:rsid w:val="008A1F07"/>
    <w:rsid w:val="008B0BF7"/>
    <w:rsid w:val="008C4C9F"/>
    <w:rsid w:val="008C5C70"/>
    <w:rsid w:val="008D3BB1"/>
    <w:rsid w:val="008E7A91"/>
    <w:rsid w:val="008F5BBF"/>
    <w:rsid w:val="008F6465"/>
    <w:rsid w:val="009008F1"/>
    <w:rsid w:val="00904BCE"/>
    <w:rsid w:val="009169FE"/>
    <w:rsid w:val="009228BD"/>
    <w:rsid w:val="0092371E"/>
    <w:rsid w:val="009242CE"/>
    <w:rsid w:val="00930726"/>
    <w:rsid w:val="009317B5"/>
    <w:rsid w:val="00935A86"/>
    <w:rsid w:val="00937591"/>
    <w:rsid w:val="00941685"/>
    <w:rsid w:val="00952FE0"/>
    <w:rsid w:val="009538D0"/>
    <w:rsid w:val="00964AE0"/>
    <w:rsid w:val="0098073A"/>
    <w:rsid w:val="00991381"/>
    <w:rsid w:val="00993EE3"/>
    <w:rsid w:val="009979C0"/>
    <w:rsid w:val="009A0886"/>
    <w:rsid w:val="009B25F7"/>
    <w:rsid w:val="009C4E8C"/>
    <w:rsid w:val="009C7C12"/>
    <w:rsid w:val="009D1E0D"/>
    <w:rsid w:val="009F1E56"/>
    <w:rsid w:val="009F74A3"/>
    <w:rsid w:val="00A06933"/>
    <w:rsid w:val="00A0779F"/>
    <w:rsid w:val="00A14865"/>
    <w:rsid w:val="00A21C90"/>
    <w:rsid w:val="00A2529A"/>
    <w:rsid w:val="00A3082B"/>
    <w:rsid w:val="00A414E7"/>
    <w:rsid w:val="00A6695C"/>
    <w:rsid w:val="00A67734"/>
    <w:rsid w:val="00A67A36"/>
    <w:rsid w:val="00A8519B"/>
    <w:rsid w:val="00AA6DFE"/>
    <w:rsid w:val="00AB0ADE"/>
    <w:rsid w:val="00AC3F34"/>
    <w:rsid w:val="00AD1414"/>
    <w:rsid w:val="00AD4E0E"/>
    <w:rsid w:val="00AE7F9F"/>
    <w:rsid w:val="00AF046D"/>
    <w:rsid w:val="00AF3A7B"/>
    <w:rsid w:val="00AF7CD9"/>
    <w:rsid w:val="00B14A6F"/>
    <w:rsid w:val="00B17628"/>
    <w:rsid w:val="00B211C9"/>
    <w:rsid w:val="00B2153A"/>
    <w:rsid w:val="00B27F49"/>
    <w:rsid w:val="00B32C84"/>
    <w:rsid w:val="00B51B65"/>
    <w:rsid w:val="00B6224C"/>
    <w:rsid w:val="00B626A2"/>
    <w:rsid w:val="00B63753"/>
    <w:rsid w:val="00B6416C"/>
    <w:rsid w:val="00B66354"/>
    <w:rsid w:val="00B73D67"/>
    <w:rsid w:val="00B919B7"/>
    <w:rsid w:val="00BA1FA3"/>
    <w:rsid w:val="00BA36FB"/>
    <w:rsid w:val="00BA5C5D"/>
    <w:rsid w:val="00BB6EA8"/>
    <w:rsid w:val="00BD00F7"/>
    <w:rsid w:val="00BD0B15"/>
    <w:rsid w:val="00BE1495"/>
    <w:rsid w:val="00BE1827"/>
    <w:rsid w:val="00BE3B81"/>
    <w:rsid w:val="00BE7CEC"/>
    <w:rsid w:val="00BF0CAC"/>
    <w:rsid w:val="00BF5A57"/>
    <w:rsid w:val="00C05FFE"/>
    <w:rsid w:val="00C22F2B"/>
    <w:rsid w:val="00C22F44"/>
    <w:rsid w:val="00C2328E"/>
    <w:rsid w:val="00C279E9"/>
    <w:rsid w:val="00C30051"/>
    <w:rsid w:val="00C32683"/>
    <w:rsid w:val="00C4244E"/>
    <w:rsid w:val="00C539A5"/>
    <w:rsid w:val="00C5415D"/>
    <w:rsid w:val="00C56A37"/>
    <w:rsid w:val="00C62C85"/>
    <w:rsid w:val="00C63911"/>
    <w:rsid w:val="00C664FD"/>
    <w:rsid w:val="00C76C8A"/>
    <w:rsid w:val="00C81E40"/>
    <w:rsid w:val="00CA188A"/>
    <w:rsid w:val="00CB794F"/>
    <w:rsid w:val="00CC4FAA"/>
    <w:rsid w:val="00CD29B3"/>
    <w:rsid w:val="00CE215F"/>
    <w:rsid w:val="00CF365B"/>
    <w:rsid w:val="00CF4F11"/>
    <w:rsid w:val="00CF5047"/>
    <w:rsid w:val="00CF50C7"/>
    <w:rsid w:val="00D0439D"/>
    <w:rsid w:val="00D05C46"/>
    <w:rsid w:val="00D0735F"/>
    <w:rsid w:val="00D07B81"/>
    <w:rsid w:val="00D40592"/>
    <w:rsid w:val="00D40A10"/>
    <w:rsid w:val="00D45963"/>
    <w:rsid w:val="00D46B23"/>
    <w:rsid w:val="00D62F57"/>
    <w:rsid w:val="00D77C23"/>
    <w:rsid w:val="00D87A9B"/>
    <w:rsid w:val="00D93604"/>
    <w:rsid w:val="00D96836"/>
    <w:rsid w:val="00DA0443"/>
    <w:rsid w:val="00DA5A1B"/>
    <w:rsid w:val="00DA7E21"/>
    <w:rsid w:val="00DB423C"/>
    <w:rsid w:val="00DB7C08"/>
    <w:rsid w:val="00DC469E"/>
    <w:rsid w:val="00DC7B53"/>
    <w:rsid w:val="00DC7F87"/>
    <w:rsid w:val="00DD257A"/>
    <w:rsid w:val="00DE377D"/>
    <w:rsid w:val="00DE4500"/>
    <w:rsid w:val="00DF1676"/>
    <w:rsid w:val="00DF7167"/>
    <w:rsid w:val="00E00D6F"/>
    <w:rsid w:val="00E0493A"/>
    <w:rsid w:val="00E17880"/>
    <w:rsid w:val="00E17D18"/>
    <w:rsid w:val="00E2354E"/>
    <w:rsid w:val="00E34C21"/>
    <w:rsid w:val="00E35767"/>
    <w:rsid w:val="00E4369C"/>
    <w:rsid w:val="00E47BF6"/>
    <w:rsid w:val="00E53F3D"/>
    <w:rsid w:val="00E631B1"/>
    <w:rsid w:val="00E669F3"/>
    <w:rsid w:val="00E73293"/>
    <w:rsid w:val="00E861EF"/>
    <w:rsid w:val="00E9445F"/>
    <w:rsid w:val="00E97477"/>
    <w:rsid w:val="00E97491"/>
    <w:rsid w:val="00E97F46"/>
    <w:rsid w:val="00EA32C2"/>
    <w:rsid w:val="00EB130D"/>
    <w:rsid w:val="00EB59A3"/>
    <w:rsid w:val="00EC4C2D"/>
    <w:rsid w:val="00ED1178"/>
    <w:rsid w:val="00ED24C3"/>
    <w:rsid w:val="00EF132F"/>
    <w:rsid w:val="00F0709D"/>
    <w:rsid w:val="00F10AA3"/>
    <w:rsid w:val="00F1221B"/>
    <w:rsid w:val="00F15093"/>
    <w:rsid w:val="00F251BA"/>
    <w:rsid w:val="00F512AA"/>
    <w:rsid w:val="00F57C10"/>
    <w:rsid w:val="00F622B5"/>
    <w:rsid w:val="00F6283D"/>
    <w:rsid w:val="00F63F23"/>
    <w:rsid w:val="00F64AF1"/>
    <w:rsid w:val="00F71158"/>
    <w:rsid w:val="00F73073"/>
    <w:rsid w:val="00F764D8"/>
    <w:rsid w:val="00F81A51"/>
    <w:rsid w:val="00F82BF5"/>
    <w:rsid w:val="00F92ADA"/>
    <w:rsid w:val="00FA64D1"/>
    <w:rsid w:val="00FB3D87"/>
    <w:rsid w:val="00FC5CAB"/>
    <w:rsid w:val="00FC7E82"/>
    <w:rsid w:val="00FD3225"/>
    <w:rsid w:val="00FE4AB9"/>
    <w:rsid w:val="00FE7E93"/>
    <w:rsid w:val="00FF0B28"/>
    <w:rsid w:val="00FF2849"/>
    <w:rsid w:val="00FF473F"/>
    <w:rsid w:val="00FF4B28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F70C"/>
  <w15:chartTrackingRefBased/>
  <w15:docId w15:val="{5829CDBA-B08D-4694-8807-D07C8806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10"/>
  </w:style>
  <w:style w:type="paragraph" w:styleId="Heading1">
    <w:name w:val="heading 1"/>
    <w:basedOn w:val="Normal"/>
    <w:next w:val="Normal"/>
    <w:link w:val="Heading1Char"/>
    <w:uiPriority w:val="9"/>
    <w:qFormat/>
    <w:rsid w:val="00F57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703"/>
  </w:style>
  <w:style w:type="paragraph" w:styleId="Footer">
    <w:name w:val="footer"/>
    <w:basedOn w:val="Normal"/>
    <w:link w:val="FooterChar"/>
    <w:uiPriority w:val="99"/>
    <w:unhideWhenUsed/>
    <w:rsid w:val="0053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703"/>
  </w:style>
  <w:style w:type="table" w:styleId="ListTable3-Accent4">
    <w:name w:val="List Table 3 Accent 4"/>
    <w:basedOn w:val="TableNormal"/>
    <w:uiPriority w:val="48"/>
    <w:rsid w:val="00490781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4320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3B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F28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256D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5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56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EC20-411A-46DB-99AA-F84A8127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Pham</dc:creator>
  <cp:keywords/>
  <dc:description/>
  <cp:lastModifiedBy>Pham, Ngoc Tu</cp:lastModifiedBy>
  <cp:revision>5</cp:revision>
  <dcterms:created xsi:type="dcterms:W3CDTF">2024-12-11T01:51:00Z</dcterms:created>
  <dcterms:modified xsi:type="dcterms:W3CDTF">2024-12-11T01:58:00Z</dcterms:modified>
</cp:coreProperties>
</file>