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426BF" w14:textId="6F7F7C5E" w:rsidR="00886794" w:rsidRPr="00087CEE" w:rsidRDefault="008564E3" w:rsidP="00356EA1">
      <w:pPr>
        <w:rPr>
          <w:b/>
        </w:rPr>
      </w:pPr>
      <w:r w:rsidRPr="00087CEE">
        <w:rPr>
          <w:b/>
        </w:rPr>
        <w:t>Developing a metabarcoding</w:t>
      </w:r>
      <w:r w:rsidR="002971B5">
        <w:rPr>
          <w:b/>
        </w:rPr>
        <w:t xml:space="preserve"> </w:t>
      </w:r>
      <w:r w:rsidR="002971B5" w:rsidRPr="00087CEE">
        <w:rPr>
          <w:b/>
        </w:rPr>
        <w:t>diagnostic</w:t>
      </w:r>
      <w:r w:rsidRPr="00087CEE">
        <w:rPr>
          <w:b/>
        </w:rPr>
        <w:t xml:space="preserve"> assay for </w:t>
      </w:r>
      <w:r w:rsidR="00482A2C">
        <w:rPr>
          <w:b/>
        </w:rPr>
        <w:t xml:space="preserve">detection of </w:t>
      </w:r>
      <w:r w:rsidRPr="00087CEE">
        <w:rPr>
          <w:b/>
        </w:rPr>
        <w:t xml:space="preserve">Drosophila </w:t>
      </w:r>
      <w:proofErr w:type="spellStart"/>
      <w:r w:rsidRPr="00087CEE">
        <w:rPr>
          <w:b/>
        </w:rPr>
        <w:t>suzukii</w:t>
      </w:r>
      <w:proofErr w:type="spellEnd"/>
      <w:r w:rsidR="00482A2C">
        <w:rPr>
          <w:b/>
        </w:rPr>
        <w:t xml:space="preserve"> within </w:t>
      </w:r>
      <w:r w:rsidR="002971B5">
        <w:rPr>
          <w:b/>
        </w:rPr>
        <w:t>mixed</w:t>
      </w:r>
      <w:r w:rsidR="00482A2C">
        <w:rPr>
          <w:b/>
        </w:rPr>
        <w:t xml:space="preserve"> trap catches</w:t>
      </w:r>
    </w:p>
    <w:p w14:paraId="57EDC82F" w14:textId="0CA9F5B6" w:rsidR="00CC2E0C" w:rsidRPr="00087CEE" w:rsidRDefault="00CC2E0C" w:rsidP="00356EA1">
      <w:pPr>
        <w:rPr>
          <w:vertAlign w:val="superscript"/>
        </w:rPr>
      </w:pPr>
      <w:commentRangeStart w:id="0"/>
      <w:r w:rsidRPr="00087CEE">
        <w:t>Alexander M. Piper</w:t>
      </w:r>
      <w:r w:rsidRPr="00087CEE">
        <w:rPr>
          <w:vertAlign w:val="superscript"/>
        </w:rPr>
        <w:t>1,</w:t>
      </w:r>
      <w:r w:rsidR="00E056CC" w:rsidRPr="00087CEE">
        <w:rPr>
          <w:vertAlign w:val="superscript"/>
        </w:rPr>
        <w:t>2</w:t>
      </w:r>
      <w:r w:rsidR="00E056CC" w:rsidRPr="00087CEE">
        <w:t>,</w:t>
      </w:r>
      <w:r w:rsidR="000F243D" w:rsidRPr="00087CEE">
        <w:t xml:space="preserve"> </w:t>
      </w:r>
      <w:r w:rsidR="0049153C" w:rsidRPr="00087CEE">
        <w:t>Paul Cunningham</w:t>
      </w:r>
      <w:r w:rsidR="0049153C" w:rsidRPr="00087CEE">
        <w:rPr>
          <w:vertAlign w:val="superscript"/>
        </w:rPr>
        <w:t>1</w:t>
      </w:r>
      <w:r w:rsidR="0049153C" w:rsidRPr="00087CEE">
        <w:t xml:space="preserve">, </w:t>
      </w:r>
      <w:r w:rsidR="006C4191" w:rsidRPr="00087CEE">
        <w:t>Noel O.I. Cogan</w:t>
      </w:r>
      <w:r w:rsidR="0049153C" w:rsidRPr="00087CEE">
        <w:rPr>
          <w:vertAlign w:val="superscript"/>
        </w:rPr>
        <w:t>1,2</w:t>
      </w:r>
      <w:r w:rsidR="006C4191" w:rsidRPr="00087CEE">
        <w:t>,</w:t>
      </w:r>
      <w:r w:rsidRPr="00087CEE">
        <w:t xml:space="preserve"> Mark J. Blacket</w:t>
      </w:r>
      <w:r w:rsidRPr="00087CEE">
        <w:rPr>
          <w:vertAlign w:val="superscript"/>
        </w:rPr>
        <w:t>1</w:t>
      </w:r>
      <w:commentRangeEnd w:id="0"/>
      <w:r w:rsidR="002B0DF8">
        <w:rPr>
          <w:rStyle w:val="CommentReference"/>
        </w:rPr>
        <w:commentReference w:id="0"/>
      </w:r>
    </w:p>
    <w:p w14:paraId="58258E56" w14:textId="77777777" w:rsidR="00CC2E0C" w:rsidRPr="00087CEE" w:rsidRDefault="00CC2E0C" w:rsidP="00356EA1">
      <w:r w:rsidRPr="00087CEE">
        <w:rPr>
          <w:vertAlign w:val="superscript"/>
        </w:rPr>
        <w:t xml:space="preserve">1 </w:t>
      </w:r>
      <w:r w:rsidRPr="00087CEE">
        <w:t xml:space="preserve">Agriculture Victoria Research, </w:t>
      </w:r>
      <w:proofErr w:type="spellStart"/>
      <w:r w:rsidRPr="00087CEE">
        <w:t>AgriBio</w:t>
      </w:r>
      <w:proofErr w:type="spellEnd"/>
      <w:r w:rsidRPr="00087CEE">
        <w:t>, Bundoora, Victoria, Australia</w:t>
      </w:r>
    </w:p>
    <w:p w14:paraId="33D25C39" w14:textId="77777777" w:rsidR="00CC2E0C" w:rsidRPr="00087CEE" w:rsidRDefault="00CC2E0C" w:rsidP="00356EA1">
      <w:r w:rsidRPr="00087CEE">
        <w:rPr>
          <w:vertAlign w:val="superscript"/>
        </w:rPr>
        <w:t>2</w:t>
      </w:r>
      <w:r w:rsidRPr="00087CEE">
        <w:t xml:space="preserve"> School of Applied Systems Biology, La Trobe University, Bundoora, Victoria, Australia</w:t>
      </w:r>
    </w:p>
    <w:p w14:paraId="028BCFEF" w14:textId="77777777" w:rsidR="00CC2E0C" w:rsidRPr="00087CEE" w:rsidRDefault="00CC2E0C" w:rsidP="00356EA1">
      <w:pPr>
        <w:rPr>
          <w:b/>
        </w:rPr>
      </w:pPr>
      <w:r w:rsidRPr="00087CEE">
        <w:rPr>
          <w:b/>
        </w:rPr>
        <w:t>Corresponding author:</w:t>
      </w:r>
    </w:p>
    <w:p w14:paraId="48B4B833" w14:textId="77777777" w:rsidR="00CC2E0C" w:rsidRPr="00087CEE" w:rsidRDefault="00CC2E0C" w:rsidP="00356EA1">
      <w:pPr>
        <w:ind w:left="720"/>
        <w:rPr>
          <w:b/>
        </w:rPr>
      </w:pPr>
      <w:r w:rsidRPr="00087CEE">
        <w:rPr>
          <w:b/>
        </w:rPr>
        <w:t>Alexander M. Piper</w:t>
      </w:r>
    </w:p>
    <w:p w14:paraId="2D9ECE6D" w14:textId="42FADA86" w:rsidR="000F243D" w:rsidRPr="00087CEE" w:rsidRDefault="00CC2E0C" w:rsidP="00356EA1">
      <w:pPr>
        <w:ind w:left="720"/>
        <w:rPr>
          <w:color w:val="0000FF"/>
          <w:u w:val="single"/>
        </w:rPr>
      </w:pPr>
      <w:r w:rsidRPr="00087CEE">
        <w:t>Email:</w:t>
      </w:r>
      <w:bookmarkStart w:id="1" w:name="_Hlk15485095"/>
      <w:r w:rsidRPr="00087CEE">
        <w:t xml:space="preserve"> </w:t>
      </w:r>
      <w:hyperlink r:id="rId11" w:history="1">
        <w:r w:rsidR="006B4C4B" w:rsidRPr="00087CEE">
          <w:rPr>
            <w:rStyle w:val="Hyperlink"/>
          </w:rPr>
          <w:t>alexander.piper@agriculture.vic.gov.au</w:t>
        </w:r>
      </w:hyperlink>
      <w:bookmarkEnd w:id="1"/>
    </w:p>
    <w:p w14:paraId="09D97DFC" w14:textId="612568BF" w:rsidR="000F243D" w:rsidRPr="006E7149" w:rsidRDefault="000F243D" w:rsidP="00356EA1">
      <w:pPr>
        <w:spacing w:before="240"/>
        <w:jc w:val="both"/>
        <w:rPr>
          <w:rFonts w:cstheme="minorHAnsi"/>
        </w:rPr>
      </w:pPr>
      <w:r w:rsidRPr="00087CEE">
        <w:rPr>
          <w:rFonts w:cstheme="minorHAnsi"/>
          <w:b/>
        </w:rPr>
        <w:t xml:space="preserve">Running title: </w:t>
      </w:r>
      <w:r w:rsidRPr="006E7149">
        <w:rPr>
          <w:rFonts w:cstheme="minorHAnsi"/>
        </w:rPr>
        <w:t xml:space="preserve">Metabarcoding </w:t>
      </w:r>
      <w:r w:rsidR="006E7149">
        <w:rPr>
          <w:rFonts w:cstheme="minorHAnsi"/>
        </w:rPr>
        <w:t>of spotted wing drosophila</w:t>
      </w:r>
    </w:p>
    <w:p w14:paraId="485A5BD3" w14:textId="7ECB4765" w:rsidR="004626C8" w:rsidRPr="004626C8" w:rsidRDefault="00CC2E0C" w:rsidP="00356EA1">
      <w:pPr>
        <w:rPr>
          <w:b/>
        </w:rPr>
      </w:pPr>
      <w:r w:rsidRPr="00087CEE">
        <w:rPr>
          <w:b/>
        </w:rPr>
        <w:t xml:space="preserve">Target journal: </w:t>
      </w:r>
    </w:p>
    <w:p w14:paraId="4D818C49" w14:textId="577EF948" w:rsidR="004626C8" w:rsidRPr="004626C8" w:rsidRDefault="004626C8" w:rsidP="00356EA1">
      <w:pPr>
        <w:pStyle w:val="ListParagraph"/>
        <w:numPr>
          <w:ilvl w:val="0"/>
          <w:numId w:val="1"/>
        </w:numPr>
      </w:pPr>
      <w:r w:rsidRPr="00087CEE">
        <w:t>Scientific Reports</w:t>
      </w:r>
      <w:r>
        <w:t>?</w:t>
      </w:r>
    </w:p>
    <w:p w14:paraId="4473ACF9" w14:textId="7A37C3AA" w:rsidR="004626C8" w:rsidRDefault="004626C8" w:rsidP="00356EA1">
      <w:pPr>
        <w:pStyle w:val="ListParagraph"/>
        <w:numPr>
          <w:ilvl w:val="0"/>
          <w:numId w:val="1"/>
        </w:numPr>
      </w:pPr>
      <w:r>
        <w:t>Pest management science</w:t>
      </w:r>
    </w:p>
    <w:p w14:paraId="691E4BB6" w14:textId="611AFECC" w:rsidR="00926A89" w:rsidRPr="004626C8" w:rsidRDefault="006D3986" w:rsidP="00356EA1">
      <w:pPr>
        <w:pStyle w:val="ListParagraph"/>
        <w:numPr>
          <w:ilvl w:val="0"/>
          <w:numId w:val="1"/>
        </w:numPr>
      </w:pPr>
      <w:r>
        <w:t>Biological invasions</w:t>
      </w:r>
    </w:p>
    <w:p w14:paraId="65542BED" w14:textId="7A3A9D9F" w:rsidR="00926A89" w:rsidRDefault="00926A89" w:rsidP="00356EA1">
      <w:pPr>
        <w:spacing w:after="160"/>
      </w:pPr>
      <w:r w:rsidRPr="00087CEE">
        <w:br w:type="page"/>
      </w:r>
    </w:p>
    <w:p w14:paraId="5083EB2F" w14:textId="1A1622E4" w:rsidR="00087CEE" w:rsidRPr="00356EA1" w:rsidRDefault="00F522FD" w:rsidP="00356EA1">
      <w:pPr>
        <w:pStyle w:val="Heading1"/>
      </w:pPr>
      <w:commentRangeStart w:id="2"/>
      <w:r w:rsidRPr="00356EA1">
        <w:lastRenderedPageBreak/>
        <w:t>Introduction</w:t>
      </w:r>
      <w:commentRangeEnd w:id="2"/>
      <w:r w:rsidR="009F390C" w:rsidRPr="00356EA1">
        <w:rPr>
          <w:rStyle w:val="CommentReference"/>
          <w:sz w:val="22"/>
          <w:szCs w:val="32"/>
        </w:rPr>
        <w:commentReference w:id="2"/>
      </w:r>
    </w:p>
    <w:p w14:paraId="5723305E" w14:textId="7AF69AE7" w:rsidR="00087CEE" w:rsidRDefault="006E7149" w:rsidP="00356EA1">
      <w:r>
        <w:t xml:space="preserve">The </w:t>
      </w:r>
      <w:r w:rsidR="002B572C">
        <w:t xml:space="preserve">dual </w:t>
      </w:r>
      <w:r w:rsidR="00482A2C">
        <w:t>influence</w:t>
      </w:r>
      <w:r w:rsidR="002B572C">
        <w:t>s</w:t>
      </w:r>
      <w:r w:rsidR="00482A2C">
        <w:t xml:space="preserve"> of </w:t>
      </w:r>
      <w:r w:rsidR="004626C8">
        <w:t>anthropogenic</w:t>
      </w:r>
      <w:r w:rsidR="00482A2C">
        <w:t xml:space="preserve"> dispersal and climate change</w:t>
      </w:r>
      <w:r w:rsidR="004626C8">
        <w:t xml:space="preserve"> are increasing the rate</w:t>
      </w:r>
      <w:r>
        <w:t xml:space="preserve"> </w:t>
      </w:r>
      <w:r w:rsidR="002B572C">
        <w:t>of insect pest invasion</w:t>
      </w:r>
      <w:r>
        <w:t xml:space="preserve">, creating a global burden on food security </w:t>
      </w:r>
      <w:r>
        <w:fldChar w:fldCharType="begin" w:fldLock="1"/>
      </w:r>
      <w:r w:rsidR="00C23635">
        <w:instrText>ADDIN CSL_CITATION {"citationItems":[{"id":"ITEM-1","itemData":{"DOI":"10.1038/s41559-018-0793-y","ISSN":"2397334X","abstract":"Crop pathogens and pests reduce the yield and quality of agricultural production. They cause substantial economic losses and reduce food security at household, national and global levels. Quantitative, standardized information on crop losses is difficult to compile and compare across crops, agroecosystems and regions. Here, we report on an expert-based assessment of crop health, and provide numerical estimates of yield losses on an individual pathogen and pest basis for five major crops globally and in food security hotspots. Our results document losses associated with 137 pathogens and pests associated with wheat, rice, maize, potato and soybean worldwide. Our yield loss (range) estimates at a global level and per hotspot for wheat (21.5% (10.1–28.1%)), rice (30.0% (24.6–40.9%)), maize (22.5% (19.5–41.1%)), potato (17.2% (8.1–21.0%)) and soybean (21.4% (11.0–32.4%)) suggest that the highest losses are associated with food-deficit regions with fast-growing populations, and frequently with emerging or re-emerging pests and diseases. Our assessment highlights differences in impacts among crop pathogens and pests and among food security hotspots. This analysis contributes critical information to prioritize crop health management to improve the sustainability of agroecosystems in delivering services to societies.","author":[{"dropping-particle":"","family":"Savary","given":"Serge","non-dropping-particle":"","parse-names":false,"suffix":""},{"dropping-particle":"","family":"Willocquet","given":"Laetitia","non-dropping-particle":"","parse-names":false,"suffix":""},{"dropping-particle":"","family":"Pethybridge","given":"Sarah Jane","non-dropping-particle":"","parse-names":false,"suffix":""},{"dropping-particle":"","family":"Esker","given":"Paul","non-dropping-particle":"","parse-names":false,"suffix":""},{"dropping-particle":"","family":"McRoberts","given":"Neil","non-dropping-particle":"","parse-names":false,"suffix":""},{"dropping-particle":"","family":"Nelson","given":"Andy","non-dropping-particle":"","parse-names":false,"suffix":""}],"container-title":"Nature Ecology and Evolution","id":"ITEM-1","issue":"3","issued":{"date-parts":[["2019"]]},"page":"430-439","publisher":"Springer US","title":"The global burden of pathogens and pests on major food crops","type":"article-journal","volume":"3"},"uris":["http://www.mendeley.com/documents/?uuid=bc3bf76b-ebd2-40b8-ac63-29f24db2c847"]}],"mendeley":{"formattedCitation":"(Savary et al., 2019)","plainTextFormattedCitation":"(Savary et al., 2019)","previouslyFormattedCitation":"(Savary et al., 2019)"},"properties":{"noteIndex":0},"schema":"https://github.com/citation-style-language/schema/raw/master/csl-citation.json"}</w:instrText>
      </w:r>
      <w:r>
        <w:fldChar w:fldCharType="separate"/>
      </w:r>
      <w:r w:rsidRPr="00447F6F">
        <w:rPr>
          <w:noProof/>
        </w:rPr>
        <w:t>(Savary et al., 2019)</w:t>
      </w:r>
      <w:r>
        <w:fldChar w:fldCharType="end"/>
      </w:r>
      <w:r>
        <w:t xml:space="preserve">. </w:t>
      </w:r>
      <w:r w:rsidR="004626C8">
        <w:t xml:space="preserve"> </w:t>
      </w:r>
      <w:r>
        <w:t xml:space="preserve">A particularly striking example of this phenomenon is </w:t>
      </w:r>
      <w:r w:rsidRPr="00087CEE">
        <w:t>the</w:t>
      </w:r>
      <w:r>
        <w:t xml:space="preserve"> global invasion of</w:t>
      </w:r>
      <w:r w:rsidRPr="00087CEE">
        <w:t xml:space="preserve"> Spotted Wing Drosophila</w:t>
      </w:r>
      <w:r w:rsidR="002B572C">
        <w:t xml:space="preserve"> (SWD)</w:t>
      </w:r>
      <w:r>
        <w:t xml:space="preserve">, </w:t>
      </w:r>
      <w:r w:rsidR="00087CEE" w:rsidRPr="00087CEE">
        <w:rPr>
          <w:i/>
        </w:rPr>
        <w:t xml:space="preserve">Drosophila </w:t>
      </w:r>
      <w:proofErr w:type="spellStart"/>
      <w:r w:rsidR="00087CEE" w:rsidRPr="00087CEE">
        <w:rPr>
          <w:i/>
        </w:rPr>
        <w:t>suzukii</w:t>
      </w:r>
      <w:proofErr w:type="spellEnd"/>
      <w:r w:rsidR="00087CEE" w:rsidRPr="00087CEE">
        <w:t xml:space="preserve"> (</w:t>
      </w:r>
      <w:proofErr w:type="spellStart"/>
      <w:r w:rsidR="00087CEE" w:rsidRPr="00087CEE">
        <w:t>Matsumara</w:t>
      </w:r>
      <w:proofErr w:type="spellEnd"/>
      <w:r w:rsidR="00087CEE" w:rsidRPr="00087CEE">
        <w:t>)</w:t>
      </w:r>
      <w:r>
        <w:t>,</w:t>
      </w:r>
      <w:r w:rsidR="00087CEE" w:rsidRPr="00087CEE">
        <w:t xml:space="preserve"> a newly significant worldwide pest of berries and stone fruit. Considered endemic to Japan, </w:t>
      </w:r>
      <w:r w:rsidR="002B572C">
        <w:t>SWD</w:t>
      </w:r>
      <w:r w:rsidR="002B572C" w:rsidRPr="00087CEE">
        <w:t xml:space="preserve"> </w:t>
      </w:r>
      <w:r w:rsidR="00087CEE" w:rsidRPr="00087CEE">
        <w:t>has r</w:t>
      </w:r>
      <w:r>
        <w:t>apidly</w:t>
      </w:r>
      <w:r w:rsidR="00087CEE" w:rsidRPr="00087CEE">
        <w:t xml:space="preserve"> spread throughout eastern Asia to Europe, North America, and South America </w:t>
      </w:r>
      <w:r w:rsidR="00087CEE" w:rsidRPr="00087CEE">
        <w:fldChar w:fldCharType="begin" w:fldLock="1"/>
      </w:r>
      <w:r w:rsidR="00087CEE" w:rsidRPr="00087CEE">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priorities","type":"article-journal","volume":"88"},"uris":["http://www.mendeley.com/documents/?uuid=8d9968cf-4041-4efd-be96-7e88e89856cf"]}],"mendeley":{"formattedCitation":"(Asplen et al., 2015)","plainTextFormattedCitation":"(Asplen et al., 2015)","previouslyFormattedCitation":"(Asplen et al., 2015)"},"properties":{"noteIndex":0},"schema":"https://github.com/citation-style-language/schema/raw/master/csl-citation.json"}</w:instrText>
      </w:r>
      <w:r w:rsidR="00087CEE" w:rsidRPr="00087CEE">
        <w:fldChar w:fldCharType="separate"/>
      </w:r>
      <w:r w:rsidR="00087CEE" w:rsidRPr="00087CEE">
        <w:rPr>
          <w:noProof/>
        </w:rPr>
        <w:t>(Asplen et al., 2015)</w:t>
      </w:r>
      <w:r w:rsidR="00087CEE" w:rsidRPr="00087CEE">
        <w:fldChar w:fldCharType="end"/>
      </w:r>
      <w:r w:rsidR="00087CEE" w:rsidRPr="00087CEE">
        <w:t xml:space="preserve">. </w:t>
      </w:r>
      <w:r w:rsidR="00482A2C">
        <w:t>Whereas</w:t>
      </w:r>
      <w:r w:rsidR="00087CEE" w:rsidRPr="00087CEE">
        <w:t xml:space="preserve"> most </w:t>
      </w:r>
      <w:r w:rsidRPr="00087CEE">
        <w:t>drosophila</w:t>
      </w:r>
      <w:r w:rsidR="00087CEE" w:rsidRPr="00087CEE">
        <w:t xml:space="preserve"> flies are considered pests only to households and the fermentation industry, </w:t>
      </w:r>
      <w:r w:rsidR="002B572C">
        <w:t>SWD</w:t>
      </w:r>
      <w:r w:rsidR="00087CEE" w:rsidRPr="00087CEE">
        <w:t xml:space="preserve"> </w:t>
      </w:r>
      <w:r w:rsidR="002B572C">
        <w:t xml:space="preserve">has evolved preferences for fruit that </w:t>
      </w:r>
      <w:r w:rsidR="00087CEE" w:rsidRPr="00087CEE">
        <w:t xml:space="preserve">is still on the tree </w:t>
      </w:r>
      <w:r w:rsidR="00087CEE" w:rsidRPr="00087CEE">
        <w:fldChar w:fldCharType="begin" w:fldLock="1"/>
      </w:r>
      <w:r w:rsidR="00087CEE" w:rsidRPr="00087CEE">
        <w:instrText xml:space="preserve">ADDIN CSL_CITATION {"citationItems":[{"id":"ITEM-1","itemData":{"DOI":"10.1007/s10886-015-0544-3","ISBN":"1526-498X","ISSN":"15731561","PMID":"25618323","abstract":"It has been demonstrated that Drosophila suzukii is capable of attacking ripening fruit, making it a unique species within a fly family named for their attraction towards the fermentation products associated with rotten fruits, vinegar, and yeast. It also has been hypothesized that D. suzukii is more attracted to the volatiles associated with the earlier ripening stages of fruit development, and in turn, that D. suzukii is less attracted to fermented food resources, especially when compared with D. melanogaster. Here, we demonstrate that D. suzukii and its close relative D. biarmipes are in fact more sensitive to volatiles associated with the fruit-ripening process; however, in choice-assays, both spotted-wing species are more attracted to fermented fruit than to earlier stages of fruit development, which is similar to the behavioral preferences of D. melanogaster, and thus, fruit developmental stage alone does not explain the ecological niche observed for D. suzukii. In contrast, we show that both D. suzukii and D. biarmipes are more attracted to leaf odors than D. melanogaster in behavioral trials. For D. suzukii, this differential behavioral preference towards leaves appears to be linked to </w:instrText>
      </w:r>
      <w:r w:rsidR="00087CEE" w:rsidRPr="00087CEE">
        <w:rPr>
          <w:rFonts w:ascii="Cambria" w:hAnsi="Cambria" w:cs="Cambria"/>
        </w:rPr>
        <w:instrText>β</w:instrText>
      </w:r>
      <w:r w:rsidR="00087CEE" w:rsidRPr="00087CEE">
        <w:instrText>-cyclocitral, a volatile isoprenoid that we show is most likely a novel ligand for the \"ab3A\" neuron. In addition, this compound is not detected by either of the other two tested fly species.","author":[{"dropping-particle":"","family":"Keesey","given":"Ian W.","non-dropping-particle":"","parse-names":false,"suffix":""},{"dropping-particle":"","family":"Knaden","given":"Markus","non-dropping-particle":"","parse-names":false,"suffix":""},{"dropping-particle":"","family":"Hansson","given":"Bill S.","non-dropping-particle":"","parse-names":false,"suffix":""}],"container-title":"Journal of Chemical Ecology","id":"ITEM-1","issue":"2","issued":{"date-parts":[["2015"]]},"page":"121-128","title":"Olfactory Specialization in Drosophila suzukii Supports an Ecological Shift in Host Preference from Rotten to Fresh Fruit","type":"article-journal","volume":"41"},"uris":["http://www.mendeley.com/documents/?uuid=ab48541c-f5b4-44cc-9971-a4cd5047e2eb"]}],"mendeley":{"formattedCitation":"(Keesey, Knaden, &amp; Hansson, 2015)","plainTextFormattedCitation":"(Keesey, Knaden, &amp; Hansson, 2015)","previouslyFormattedCitation":"(Keesey, Knaden, &amp; Hansson, 2015)"},"properties":{"noteIndex":0},"schema":"https://github.com/citation-style-language/schema/raw/master/csl-citation.json"}</w:instrText>
      </w:r>
      <w:r w:rsidR="00087CEE" w:rsidRPr="00087CEE">
        <w:fldChar w:fldCharType="separate"/>
      </w:r>
      <w:r w:rsidR="00087CEE" w:rsidRPr="00087CEE">
        <w:rPr>
          <w:noProof/>
        </w:rPr>
        <w:t>(Keesey, Knaden, &amp; Hansson, 2015)</w:t>
      </w:r>
      <w:r w:rsidR="00087CEE" w:rsidRPr="00087CEE">
        <w:fldChar w:fldCharType="end"/>
      </w:r>
      <w:r w:rsidR="002B572C">
        <w:t xml:space="preserve">, using a serrated ovipositor to penetrate and lay eggs </w:t>
      </w:r>
      <w:r w:rsidR="00087CEE" w:rsidRPr="00087CEE">
        <w:t>inside these harder fruits</w:t>
      </w:r>
      <w:r w:rsidR="002B572C">
        <w:t>.</w:t>
      </w:r>
      <w:r>
        <w:t xml:space="preserve"> </w:t>
      </w:r>
      <w:r w:rsidR="002B572C">
        <w:t>SWD</w:t>
      </w:r>
      <w:r w:rsidR="00087CEE" w:rsidRPr="00087CEE">
        <w:t xml:space="preserve"> was first detected in North America on Californian berry crops in 2008 </w:t>
      </w:r>
      <w:r w:rsidR="00087CEE" w:rsidRPr="00087CEE">
        <w:fldChar w:fldCharType="begin" w:fldLock="1"/>
      </w:r>
      <w:r w:rsidR="00087CEE" w:rsidRPr="00087CEE">
        <w:instrText>ADDIN CSL_CITATION {"citationItems":[{"id":"ITEM-1","itemData":{"DOI":"10.1002/ps.2259","ISBN":"1526-498X","ISSN":"1526498X","PMID":"21815244","abstract":"BACKGROUND: Economic costs of spotted wing drosophila (SWD) include yield and associated revenue losses, labor and material costs for monitoring and management and revenue losses due to the closure of export markets should fruit from SWD-infested regions be banned by trading partners. This analysis focuses on two types of loss in the California raspberry and strawberry industries: yield losses in the absence of management, and insecticide material costs on a per treatment basis. It computes the cost of a specific management program for raspberries in California's Central Coast region. RESULTS: Insecticide material and application costs per treatment and the cost of the management program are small relative to the yield losses in the absence of management that are observed by growers, researchers and others in initial infestations. CONCLUSION: It is difficult to evaluate precisely the share of pest management program costs due to SWD because insecticides are sometimes used to manage multiple pests, and because labor-intensive field sanitation efforts to control SWD are recommended practices already. Given these considerations, this analysis finds that the benefits to SWD management well outweigh the costs examined here. Evaluating the efficacy of managing SWD is essential in assessing the risks that SWD poses and the benefits of pest management programs.","author":[{"dropping-particle":"","family":"Goodhue","given":"Rachael E.","non-dropping-particle":"","parse-names":false,"suffix":""},{"dropping-particle":"","family":"Bolda","given":"Mark","non-dropping-particle":"","parse-names":false,"suffix":""},{"dropping-particle":"","family":"Farnsworth","given":"Derek","non-dropping-particle":"","parse-names":false,"suffix":""},{"dropping-particle":"","family":"Williams","given":"Jeffrey C.","non-dropping-particle":"","parse-names":false,"suffix":""},{"dropping-particle":"","family":"Zalom","given":"Frank G.","non-dropping-particle":"","parse-names":false,"suffix":""}],"container-title":"Pest Management Science","id":"ITEM-1","issue":"11","issued":{"date-parts":[["2011"]]},"page":"1396-1402","title":"Spotted wing drosophila infestation of California strawberries and raspberries: Economic analysis of potential revenue losses and control costs","type":"article-journal","volume":"67"},"uris":["http://www.mendeley.com/documents/?uuid=89d50ce6-6d14-4d77-bdf0-c48077ad5d5b"]}],"mendeley":{"formattedCitation":"(Goodhue, Bolda, Farnsworth, Williams, &amp; Zalom, 2011)","plainTextFormattedCitation":"(Goodhue, Bolda, Farnsworth, Williams, &amp; Zalom, 2011)","previouslyFormattedCitation":"(Goodhue, Bolda, Farnsworth, Williams, &amp; Zalom, 2011)"},"properties":{"noteIndex":0},"schema":"https://github.com/citation-style-language/schema/raw/master/csl-citation.json"}</w:instrText>
      </w:r>
      <w:r w:rsidR="00087CEE" w:rsidRPr="00087CEE">
        <w:fldChar w:fldCharType="separate"/>
      </w:r>
      <w:r w:rsidR="00087CEE" w:rsidRPr="00087CEE">
        <w:rPr>
          <w:noProof/>
        </w:rPr>
        <w:t>(Goodhue, Bolda, Farnsworth, Williams, &amp; Zalom, 2011)</w:t>
      </w:r>
      <w:r w:rsidR="00087CEE" w:rsidRPr="00087CEE">
        <w:fldChar w:fldCharType="end"/>
      </w:r>
      <w:r w:rsidR="00087CEE" w:rsidRPr="00087CEE">
        <w:t xml:space="preserve"> and has since spread throughout the north central and Eastern United States </w:t>
      </w:r>
      <w:r w:rsidR="00087CEE" w:rsidRPr="00087CEE">
        <w:fldChar w:fldCharType="begin" w:fldLock="1"/>
      </w:r>
      <w:r w:rsidR="00087CEE" w:rsidRPr="00087CEE">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priorities","type":"article-journal","volume":"88"},"uris":["http://www.mendeley.com/documents/?uuid=8d9968cf-4041-4efd-be96-7e88e89856cf"]}],"mendeley":{"formattedCitation":"(Asplen et al., 2015)","plainTextFormattedCitation":"(Asplen et al., 2015)","previouslyFormattedCitation":"(Asplen et al., 2015)"},"properties":{"noteIndex":0},"schema":"https://github.com/citation-style-language/schema/raw/master/csl-citation.json"}</w:instrText>
      </w:r>
      <w:r w:rsidR="00087CEE" w:rsidRPr="00087CEE">
        <w:fldChar w:fldCharType="separate"/>
      </w:r>
      <w:r w:rsidR="00087CEE" w:rsidRPr="00087CEE">
        <w:rPr>
          <w:noProof/>
        </w:rPr>
        <w:t>(Asplen et al., 2015)</w:t>
      </w:r>
      <w:r w:rsidR="00087CEE" w:rsidRPr="00087CEE">
        <w:fldChar w:fldCharType="end"/>
      </w:r>
      <w:r w:rsidR="00087CEE" w:rsidRPr="00087CEE">
        <w:t xml:space="preserve">. A similar case of highly efficient dispersal has been seen in Western Europe </w:t>
      </w:r>
      <w:r w:rsidR="00087CEE" w:rsidRPr="00087CEE">
        <w:fldChar w:fldCharType="begin" w:fldLock="1"/>
      </w:r>
      <w:r w:rsidR="00087CEE" w:rsidRPr="00087CEE">
        <w:instrText>ADDIN CSL_CITATION {"citationItems":[{"id":"ITEM-1","itemData":{"ISBN":"1721-8861","ISSN":"17218861","abstract":"The vinegar fly Drosophila suzukii (Matsumura) (Diptera Drosophilidae), spotted wing drosophila, is a highly polyphagous invasive pest endemic to South East Asia, which has recently invaded western countries. Its serrated ovipositor allows this fly to lay eggs on and damage unwounded ripening fruits, thus heavily threatening fruit production. D. suzukii is spreading rapidly and economic losses are severe, thus it is rapidly becoming a pest of great concern. This paper reviews the existing knowledge on the pest life history and updates its current distribution across Europe. D. suzukii presence has now been reported in nine European countries. Nonetheless, several knowledge gaps about this pest still exist and no efficient monitoring tools have been developed yet. This review is aimed at highlighting the possible research approach which may hopefully provide management solutions to the expanding challenge that D. suzukii poses to European fruit production.","author":[{"dropping-particle":"","family":"Cini","given":"Alessandro","non-dropping-particle":"","parse-names":false,"suffix":""},{"dropping-particle":"","family":"Ioriatti","given":"Claudio","non-dropping-particle":"","parse-names":false,"suffix":""},{"dropping-particle":"","family":"Anfora","given":"Gianfranco","non-dropping-particle":"","parse-names":false,"suffix":""}],"container-title":"Bulletin of Insectology","id":"ITEM-1","issue":"1","issued":{"date-parts":[["2012"]]},"page":"149-160","title":"A review of the invasion of Drosophila suzukii in Europe and a draft research agenda for integrated pest management","type":"article-journal","volume":"65"},"uris":["http://www.mendeley.com/documents/?uuid=0272de86-7b1b-4b7f-858f-64b747821560"]}],"mendeley":{"formattedCitation":"(Cini, Ioriatti, &amp; Anfora, 2012)","plainTextFormattedCitation":"(Cini, Ioriatti, &amp; Anfora, 2012)","previouslyFormattedCitation":"(Cini, Ioriatti, &amp; Anfora, 2012)"},"properties":{"noteIndex":0},"schema":"https://github.com/citation-style-language/schema/raw/master/csl-citation.json"}</w:instrText>
      </w:r>
      <w:r w:rsidR="00087CEE" w:rsidRPr="00087CEE">
        <w:fldChar w:fldCharType="separate"/>
      </w:r>
      <w:r w:rsidR="00087CEE" w:rsidRPr="00087CEE">
        <w:rPr>
          <w:noProof/>
        </w:rPr>
        <w:t>(Cini, Ioriatti, &amp; Anfora, 2012)</w:t>
      </w:r>
      <w:r w:rsidR="00087CEE" w:rsidRPr="00087CEE">
        <w:fldChar w:fldCharType="end"/>
      </w:r>
      <w:r w:rsidR="00087CEE" w:rsidRPr="00087CEE">
        <w:t xml:space="preserve">. This rapid establishment and spread is attributed to the species high reproductive potential and multiple generations per year </w:t>
      </w:r>
      <w:r w:rsidR="00087CEE" w:rsidRPr="00087CEE">
        <w:fldChar w:fldCharType="begin" w:fldLock="1"/>
      </w:r>
      <w:r w:rsidR="00087CEE" w:rsidRPr="00087CEE">
        <w:instrText>ADDIN CSL_CITATION {"citationItems":[{"id":"ITEM-1","itemData":{"DOI":"10.1186/s12898-017-0131-2","ISSN":"1472-6785","abstract":"Background: Understanding how species adapt to new niches is a central issue in evolutionary ecology. Nutrition is vital for the survival of all organisms and impacts species fitness and distribution. While most Drosophila species exploit rotting plant parts, some species have diversified to use ripe fruit, allowing earlier colonization. The decom</w:instrText>
      </w:r>
      <w:r w:rsidR="00087CEE" w:rsidRPr="00087CEE">
        <w:rPr>
          <w:rFonts w:ascii="Times New Roman" w:hAnsi="Times New Roman" w:cs="Times New Roman"/>
        </w:rPr>
        <w:instrText>‑</w:instrText>
      </w:r>
      <w:r w:rsidR="00087CEE" w:rsidRPr="00087CEE">
        <w:instrText xml:space="preserve"> position of plant material is facilitated by yeast colonization and proliferation. These yeasts serve as the main protein source for Drosophila larvae. This dynamic rotting process entails changes in the nutritional composition of the food and other properties, and animals feeding on material at different stages of decay are expected to have behavioural and nutritional adaptations. Results: We compared larval performance, feeding behaviour and adult oviposition site choice between the ripe fruit colonizer and invasive pest Drosophila suzukii, and a closely</w:instrText>
      </w:r>
      <w:r w:rsidR="00087CEE" w:rsidRPr="00087CEE">
        <w:rPr>
          <w:rFonts w:ascii="Times New Roman" w:hAnsi="Times New Roman" w:cs="Times New Roman"/>
        </w:rPr>
        <w:instrText>‑</w:instrText>
      </w:r>
      <w:r w:rsidR="00087CEE" w:rsidRPr="00087CEE">
        <w:instrText>related rotting fruit colonizer, Drosophila biarmipes. Through the manipulation of protein:carbohydrate ratios in artificial diets, we found that D. suzukii larvae perform bet</w:instrText>
      </w:r>
      <w:r w:rsidR="00087CEE" w:rsidRPr="00087CEE">
        <w:rPr>
          <w:rFonts w:ascii="Times New Roman" w:hAnsi="Times New Roman" w:cs="Times New Roman"/>
        </w:rPr>
        <w:instrText>‑</w:instrText>
      </w:r>
      <w:r w:rsidR="00087CEE" w:rsidRPr="00087CEE">
        <w:instrText xml:space="preserve"> ter at lower protein concentrations and consume less protein rich diets relative to D. biarmipes. For adult oviposition, these species differed in preference for substrate hardness, but not for the substrate nutritional composition. Conclusions: Our findings highlight that rather than being an exclusive specialist on ripe fruit, D. suzukii's adapta</w:instrText>
      </w:r>
      <w:r w:rsidR="00087CEE" w:rsidRPr="00087CEE">
        <w:rPr>
          <w:rFonts w:ascii="Times New Roman" w:hAnsi="Times New Roman" w:cs="Times New Roman"/>
        </w:rPr>
        <w:instrText>‑</w:instrText>
      </w:r>
      <w:r w:rsidR="00087CEE" w:rsidRPr="00087CEE">
        <w:instrText xml:space="preserve"> tion to use ripening fruit allow it to colonize a wider range of food substrates than D. biarmipes, which is limited to soft foods with higher protein concentrations. Our results underscore the importance of nutritional performance and feeding behaviours in the colonization of new food niches.","author":[{"dropping-particle":"","family":"Silva-Soares","given":"Nuno F.","non-dropping-particle":"","parse-names":false,"suffix":""},{"dropping-particle":"","family":"Nogueira-Alves","given":"A.","non-dropping-particle":"","parse-names":false,"suffix":""},{"dropping-particle":"","family":"Beldade","given":"P.","non-dropping-particle":"","parse-names":false,"suffix":""},{"dropping-particle":"","family":"Mirth","given":"Christen Kerry","non-dropping-particle":"","parse-names":false,"suffix":""}],"container-title":"BMC Ecology","id":"ITEM-1","issue":"1","issued":{"date-parts":[["2017"]]},"page":"21","publisher":"BioMed Central","title":"Adaptation to new nutritional environments: larval performance, foraging decisions, and adult oviposition choices in Drosophila suzukii","type":"article-journal","volume":"17"},"uris":["http://www.mendeley.com/documents/?uuid=319c7e66-0ed1-42f4-87d8-8fa3c5bcb663"]}],"mendeley":{"formattedCitation":"(Silva-Soares, Nogueira-Alves, Beldade, &amp; Mirth, 2017)","plainTextFormattedCitation":"(Silva-Soares, Nogueira-Alves, Beldade, &amp; Mirth, 2017)","previouslyFormattedCitation":"(Silva-Soares, Nogueira-Alves, Beldade, &amp; Mirth, 2017)"},"properties":{"noteIndex":0},"schema":"https://github.com/citation-style-language/schema/raw/master/csl-citation.json"}</w:instrText>
      </w:r>
      <w:r w:rsidR="00087CEE" w:rsidRPr="00087CEE">
        <w:fldChar w:fldCharType="separate"/>
      </w:r>
      <w:r w:rsidR="00087CEE" w:rsidRPr="00087CEE">
        <w:rPr>
          <w:noProof/>
        </w:rPr>
        <w:t>(Silva-Soares, Nogueira-Alves, Beldade, &amp; Mirth, 2017)</w:t>
      </w:r>
      <w:r w:rsidR="00087CEE" w:rsidRPr="00087CEE">
        <w:fldChar w:fldCharType="end"/>
      </w:r>
      <w:r w:rsidR="00087CEE" w:rsidRPr="00087CEE">
        <w:t xml:space="preserve">, as well as being facilitated by prolific global fruit trade. </w:t>
      </w:r>
    </w:p>
    <w:p w14:paraId="229719F8" w14:textId="3FDE32FF" w:rsidR="0081753C" w:rsidRPr="006D3986" w:rsidRDefault="002B572C" w:rsidP="00356EA1">
      <w:pPr>
        <w:spacing w:before="240"/>
      </w:pPr>
      <w:r>
        <w:t>For the regions where SWD has not yet established, e</w:t>
      </w:r>
      <w:r w:rsidR="00447F6F">
        <w:t>arly detection monitoring</w:t>
      </w:r>
      <w:r w:rsidR="00482A2C">
        <w:t xml:space="preserve"> is becoming increasingly </w:t>
      </w:r>
      <w:r>
        <w:t>important, as rapid detection increases the likelihood of containment and eradication</w:t>
      </w:r>
      <w:r w:rsidR="00482A2C">
        <w:t xml:space="preserve">. </w:t>
      </w:r>
      <w:r w:rsidR="00C80080">
        <w:t>W</w:t>
      </w:r>
      <w:r>
        <w:t>hereas i</w:t>
      </w:r>
      <w:r w:rsidR="0081753C">
        <w:t>n regions where it is</w:t>
      </w:r>
      <w:r>
        <w:t xml:space="preserve"> considered</w:t>
      </w:r>
      <w:r w:rsidR="0081753C">
        <w:t xml:space="preserve"> established, </w:t>
      </w:r>
      <w:r w:rsidR="00C80080">
        <w:t xml:space="preserve">large scale trapping is conducted as part of integrated pest management </w:t>
      </w:r>
      <w:proofErr w:type="gramStart"/>
      <w:r w:rsidR="00C80080">
        <w:t xml:space="preserve">programs </w:t>
      </w:r>
      <w:r w:rsidR="006D3986">
        <w:t>.</w:t>
      </w:r>
      <w:proofErr w:type="gramEnd"/>
      <w:r w:rsidR="00C80080">
        <w:t xml:space="preserve"> Various l</w:t>
      </w:r>
      <w:r w:rsidR="0081753C" w:rsidRPr="00087CEE">
        <w:t xml:space="preserve">ures </w:t>
      </w:r>
      <w:r w:rsidR="00C80080">
        <w:t xml:space="preserve">based on </w:t>
      </w:r>
      <w:r w:rsidR="0081753C" w:rsidRPr="00087CEE">
        <w:t xml:space="preserve">attractants of apple cider vinegar </w:t>
      </w:r>
      <w:r w:rsidR="0081753C" w:rsidRPr="00087CEE">
        <w:fldChar w:fldCharType="begin" w:fldLock="1"/>
      </w:r>
      <w:r w:rsidR="0081753C" w:rsidRPr="00087CEE">
        <w:instrText>ADDIN CSL_CITATION {"citationItems":[{"id":"ITEM-1","itemData":{"DOI":"10.1653/024.095.0213","ISBN":"0015-4040","ISSN":"0015-4040","abstract":"Field trapping experiments evaluated wine and vinegar baits for spotted wing drosophila flies, Drosophila suzukii (Matsumura), and assessed variance in bait attractiveness with wine type, vinegar type, and bait age. A mixture of apple cider vinegar and a Merlot wine attracted more flies than a mixture of acetic acid and ethanol. The vinegar/wine mixture attracted numbers of flies that were similar to numbers of flies trapped with acetic acid with wine or ethanol with vinegar. These results indicate that chemicals in vinegar in addition to acetic acid, and chemicals in wine in addition to ethanol, are attractants for the spotted wing drosophila. Numbers of flies captured with wine/vinegar mixtures varied somewhat with wine type, with a Merlot wine yielding best captures among the wines tested. Numbers of flies captured with wine/vinegar mixes also varied somewhat with vinegar type, with a rice vinegar yielding best captures among vinegars tested. Numbers of flies captured varied little with bait age, from 0 to 7 days old. These results will assist efforts to improve baits used to trap spotted wing drosophila, and to provide guidance for the isolation and identification of chemical attractants from wines and vinegars.","author":[{"dropping-particle":"","family":"Landolt","given":"Peter J.","non-dropping-particle":"","parse-names":false,"suffix":""},{"dropping-particle":"","family":"Adams","given":"Todd","non-dropping-particle":"","parse-names":false,"suffix":""},{"dropping-particle":"","family":"Davis","given":"Thomas Seth","non-dropping-particle":"","parse-names":false,"suffix":""},{"dropping-particle":"","family":"Rogg","given":"Helmuth","non-dropping-particle":"","parse-names":false,"suffix":""}],"container-title":"Florida Entomologist","id":"ITEM-1","issue":"2","issued":{"date-parts":[["2012"]]},"page":"326-332","title":"Spotted Wing Drosophila, Drosophila suzukii (Diptera: Drosophilidae), trapped with combinations of wines and vinegars","type":"article-journal","volume":"95"},"uris":["http://www.mendeley.com/documents/?uuid=fd235d4c-ab91-4dd0-9623-5192bda94118"]}],"mendeley":{"formattedCitation":"(Landolt, Adams, Davis, &amp; Rogg, 2012)","plainTextFormattedCitation":"(Landolt, Adams, Davis, &amp; Rogg, 2012)","previouslyFormattedCitation":"(Landolt, Adams, Davis, &amp; Rogg, 2012)"},"properties":{"noteIndex":0},"schema":"https://github.com/citation-style-language/schema/raw/master/csl-citation.json"}</w:instrText>
      </w:r>
      <w:r w:rsidR="0081753C" w:rsidRPr="00087CEE">
        <w:fldChar w:fldCharType="separate"/>
      </w:r>
      <w:r w:rsidR="0081753C" w:rsidRPr="00087CEE">
        <w:rPr>
          <w:noProof/>
        </w:rPr>
        <w:t>(Landolt, Adams, Davis, &amp; Rogg, 2012)</w:t>
      </w:r>
      <w:r w:rsidR="0081753C" w:rsidRPr="00087CEE">
        <w:fldChar w:fldCharType="end"/>
      </w:r>
      <w:r w:rsidR="0081753C" w:rsidRPr="00087CEE">
        <w:t xml:space="preserve">, live yeasts </w:t>
      </w:r>
      <w:r w:rsidR="0081753C" w:rsidRPr="00087CEE">
        <w:fldChar w:fldCharType="begin" w:fldLock="1"/>
      </w:r>
      <w:r w:rsidR="00C23635">
        <w:instrText>ADDIN CSL_CITATION {"citationItems":[{"id":"ITEM-1","itemData":{"DOI":"10.1007/s10340-017-0932-2","ISBN":"0123456789","ISSN":"1612-4758","author":[{"dropping-particle":"","family":"Bellutti","given":"Nathalie","non-dropping-particle":"","parse-names":false,"suffix":""},{"dropping-particle":"","family":"Gallmetzer","given":"Andreas","non-dropping-particle":"","parse-names":false,"suffix":""},{"dropping-particle":"","family":"Innerebner","given":"Gerd","non-dropping-particle":"","parse-names":false,"suffix":""},{"dropping-particle":"","family":"Schmidt","given":"Silvia","non-dropping-particle":"","parse-names":false,"suffix":""},{"dropping-particle":"","family":"Zelger","given":"Roland","non-dropping-particle":"","parse-names":false,"suffix":""},{"dropping-particle":"","family":"Koschier","given":"Elisabeth Helene","non-dropping-particle":"","parse-names":false,"suffix":""}],"container-title":"Journal of Pest Science","id":"ITEM-1","issued":{"date-parts":[["2017"]]},"publisher":"Springer Berlin Heidelberg","title":"Dietary yeast affects preference and performance in Drosophila suzukii","type":"article-journal"},"uris":["http://www.mendeley.com/documents/?uuid=a845cf39-738d-4f96-86cb-3a8b39bbef88"]},{"id":"ITEM-2","itemData":{"DOI":"10.1007/s10340-016-0768-1","ISSN":"16124758","author":[{"dropping-particle":"","family":"Hamby","given":"Kelly A.","non-dropping-particle":"","parse-names":false,"suffix":""},{"dropping-particle":"","family":"Becher","given":"Paul G.","non-dropping-particle":"","parse-names":false,"suffix":""}],"container-title":"Journal of Pest Science","id":"ITEM-2","issue":"3","issued":{"date-parts":[["2016"]]},"page":"621-630","publisher":"Springer Berlin Heidelberg","title":"Current knowledge of interactions between Drosophila suzukii and microbes, and their potential utility for pest management","type":"article-journal","volume":"89"},"uris":["http://www.mendeley.com/documents/?uuid=5540c2a4-91fd-4493-9015-3fd850f95c55"]}],"mendeley":{"formattedCitation":"(Hamby &amp; Becher, 2016; Bellutti et al., 2017)","plainTextFormattedCitation":"(Hamby &amp; Becher, 2016; Bellutti et al., 2017)","previouslyFormattedCitation":"(Hamby &amp; Becher, 2016; Bellutti et al., 2017)"},"properties":{"noteIndex":0},"schema":"https://github.com/citation-style-language/schema/raw/master/csl-citation.json"}</w:instrText>
      </w:r>
      <w:r w:rsidR="0081753C" w:rsidRPr="00087CEE">
        <w:fldChar w:fldCharType="separate"/>
      </w:r>
      <w:r w:rsidR="00447F6F" w:rsidRPr="00447F6F">
        <w:rPr>
          <w:noProof/>
        </w:rPr>
        <w:t>(Hamby &amp; Becher, 2016; Bellutti et al., 2017)</w:t>
      </w:r>
      <w:r w:rsidR="0081753C" w:rsidRPr="00087CEE">
        <w:fldChar w:fldCharType="end"/>
      </w:r>
      <w:r w:rsidR="0081753C" w:rsidRPr="00087CEE">
        <w:t xml:space="preserve">, or synthetic </w:t>
      </w:r>
      <w:r w:rsidR="0081753C" w:rsidRPr="00087CEE">
        <w:lastRenderedPageBreak/>
        <w:t xml:space="preserve">attractants developed from a combination of volatile compounds from the former </w:t>
      </w:r>
      <w:r w:rsidR="0081753C" w:rsidRPr="00087CEE">
        <w:fldChar w:fldCharType="begin" w:fldLock="1"/>
      </w:r>
      <w:r w:rsidR="0081753C" w:rsidRPr="00087CEE">
        <w:instrText>ADDIN CSL_CITATION {"citationItems":[{"id":"ITEM-1","itemData":{"DOI":"10.1007/s10886-012-0196-5","ISBN":"0098-0331","ISSN":"00980331","PMID":"23065086","abstract":"Previous studies suggest that olfactory cues from damaged and fermented fruits play important roles in resource recognition of polyphagous spotted wing Drosophila flies (SWD), Drosophila suzukii (Matsumura) (Diptera: Drosophilidae). They are attracted to fermented sweet materials, such as decomposing fruits but also wines and vinegars, and to ubiquitous fermentation volatiles, such as acetic acid and ethanol. Gas chromatography coupled with electroantennographic detection (GC-EAD), gas chromatography-mass spectrometry (GC-MS), two-choice laboratory bioassays, and field trapping experiments were used to identify volatile compounds from wine and vinegar that are involved in SWD attraction. In addition to acetic acid and ethanol, consistent EAD responses were obtained for 13 volatile wine compounds and seven volatile vinegar compounds, with all of the vinegar EAD-active compounds also present in wine. In a field trapping experiment, the 9-component vinegar blend and 15-component wine blend were similarly attractive when compared to an acetic acid plus ethanol mixture, but were not as attractive as the wine plus vinegar mixture. In two-choice laboratory bioassays, 7 EAD-active compounds (ethyl acetate, ethyl butyrate, ethyl lactate, 1-hexanol, isoamyl acetate, 2-methylbutyl acetate, and ethyl sorbate), when added singly to the mixture at the same concentrations tested in the field, decreased the attraction of SWD to the mixture of acetic acid and ethanol. The blends composed of the remaining EAD-active chemicals, an 8-component wine blend [acetic acid + ethanol + acetoin + grape butyrate + methionol + isoamyl lactate + 2-phenylethanol + diethyl succinate] and a 5-component vinegar blend [acetic acid + ethanol + acetoin + grape butyrate + 2-phenylethanol] were more attractive than the acetic acid plus ethanol mixture, and as attractive as the wine plus vinegar mixture in both laboratory assays and the field trapping experiment. These results indicate that these volatiles in wine and vinegar are crucial for SWD attraction to fermented materials on which they feed as adults.","author":[{"dropping-particle":"","family":"Cha","given":"Dong H.","non-dropping-particle":"","parse-names":false,"suffix":""},{"dropping-particle":"","family":"Adams","given":"Todd","non-dropping-particle":"","parse-names":false,"suffix":""},{"dropping-particle":"","family":"Rogg","given":"Helmuth","non-dropping-particle":"","parse-names":false,"suffix":""},{"dropping-particle":"","family":"Landolt","given":"Peter J.","non-dropping-particle":"","parse-names":false,"suffix":""}],"container-title":"Journal of Chemical Ecology","id":"ITEM-1","issue":"11","issued":{"date-parts":[["2012"]]},"page":"1419-1431","title":"Identification and Field Evaluation of Fermentation Volatiles from Wine and Vinegar that Mediate Attraction of Spotted Wing Drosophila, Drosophila suzukii","type":"article-journal","volume":"38"},"uris":["http://www.mendeley.com/documents/?uuid=3119ec79-32d8-4835-898c-2e705df4ffe8"]}],"mendeley":{"formattedCitation":"(Cha, Adams, Rogg, &amp; Landolt, 2012)","plainTextFormattedCitation":"(Cha, Adams, Rogg, &amp; Landolt, 2012)","previouslyFormattedCitation":"(Cha, Adams, Rogg, &amp; Landolt, 2012)"},"properties":{"noteIndex":0},"schema":"https://github.com/citation-style-language/schema/raw/master/csl-citation.json"}</w:instrText>
      </w:r>
      <w:r w:rsidR="0081753C" w:rsidRPr="00087CEE">
        <w:fldChar w:fldCharType="separate"/>
      </w:r>
      <w:r w:rsidR="0081753C" w:rsidRPr="00087CEE">
        <w:rPr>
          <w:noProof/>
        </w:rPr>
        <w:t>(Cha, Adams, Rogg, &amp; Landolt, 2012)</w:t>
      </w:r>
      <w:r w:rsidR="0081753C" w:rsidRPr="00087CEE">
        <w:fldChar w:fldCharType="end"/>
      </w:r>
      <w:r w:rsidR="0081753C">
        <w:t xml:space="preserve"> </w:t>
      </w:r>
      <w:r w:rsidR="00C80080">
        <w:t>are used to trap drosophila. However, these traps are not particularly selective for SWD, a</w:t>
      </w:r>
      <w:r w:rsidR="0081753C" w:rsidRPr="00087CEE">
        <w:t xml:space="preserve">nd catch a diverse range of </w:t>
      </w:r>
      <w:proofErr w:type="spellStart"/>
      <w:r w:rsidR="0081753C" w:rsidRPr="00087CEE">
        <w:t>drosophilid</w:t>
      </w:r>
      <w:r w:rsidR="00C80080">
        <w:t>s</w:t>
      </w:r>
      <w:proofErr w:type="spellEnd"/>
      <w:r w:rsidR="00C80080">
        <w:t xml:space="preserve"> </w:t>
      </w:r>
      <w:r w:rsidR="0081753C" w:rsidRPr="00087CEE">
        <w:t xml:space="preserve">and other insect taxa (ref). </w:t>
      </w:r>
      <w:r w:rsidR="006D3986">
        <w:t>I</w:t>
      </w:r>
      <w:r w:rsidR="006D3986" w:rsidRPr="00087CEE">
        <w:t xml:space="preserve">n addition to trapping of adult flies, infested fruit can be crushed in a salt solution to agitate and float any larvae and eggs from to the surface, which can then be collected via filtration for identification </w:t>
      </w:r>
      <w:r w:rsidR="006D3986" w:rsidRPr="00087CEE">
        <w:fldChar w:fldCharType="begin" w:fldLock="1"/>
      </w:r>
      <w:r w:rsidR="006D3986" w:rsidRPr="00087CEE">
        <w:instrText>ADDIN CSL_CITATION {"citationItems":[{"id":"ITEM-1","itemData":{"DOI":"10.1093/jipm/pmx019","ISSN":"2155-7470","author":[{"dropping-particle":"","family":"Timmeren","given":"Steven","non-dropping-particle":"Van","parse-names":false,"suffix":""},{"dropping-particle":"","family":"Diepenbrock","given":"Lauren M","non-dropping-particle":"","parse-names":false,"suffix":""},{"dropping-particle":"","family":"Bertone","given":"Matthew A","non-dropping-particle":"","parse-names":false,"suffix":""},{"dropping-particle":"","family":"Burrack","given":"Hannah J","non-dropping-particle":"","parse-names":false,"suffix":""},{"dropping-particle":"","family":"Isaacs","given":"Rufus","non-dropping-particle":"","parse-names":false,"suffix":""}],"container-title":"Journal of Integrated Pest Management","id":"ITEM-1","issue":"1","issued":{"date-parts":[["2017"]]},"page":"1-7","title":"A Filter Method for Improved Monitoring of Drosophila suzukii (Diptera: Drosophilidae) Larvae in Fruit","type":"article-journal","volume":"8"},"uris":["http://www.mendeley.com/documents/?uuid=a6fa806a-c63c-417d-a6db-51e58e14233d"]}],"mendeley":{"formattedCitation":"(Van Timmeren, Diepenbrock, Bertone, Burrack, &amp; Isaacs, 2017)","plainTextFormattedCitation":"(Van Timmeren, Diepenbrock, Bertone, Burrack, &amp; Isaacs, 2017)","previouslyFormattedCitation":"(Van Timmeren, Diepenbrock, Bertone, Burrack, &amp; Isaacs, 2017)"},"properties":{"noteIndex":0},"schema":"https://github.com/citation-style-language/schema/raw/master/csl-citation.json"}</w:instrText>
      </w:r>
      <w:r w:rsidR="006D3986" w:rsidRPr="00087CEE">
        <w:fldChar w:fldCharType="separate"/>
      </w:r>
      <w:r w:rsidR="006D3986" w:rsidRPr="00087CEE">
        <w:rPr>
          <w:noProof/>
        </w:rPr>
        <w:t>(Van Timmeren, Diepenbrock, Bertone, Burrack, &amp; Isaacs, 2017)</w:t>
      </w:r>
      <w:r w:rsidR="006D3986" w:rsidRPr="00087CEE">
        <w:fldChar w:fldCharType="end"/>
      </w:r>
      <w:r w:rsidR="006D3986">
        <w:t xml:space="preserve">, however diverse insect groups can be found in fruit, especially if it is collected on the ground. </w:t>
      </w:r>
      <w:r w:rsidR="0081753C" w:rsidRPr="00087CEE">
        <w:t xml:space="preserve">When put in the context of a </w:t>
      </w:r>
      <w:proofErr w:type="gramStart"/>
      <w:r w:rsidR="0081753C" w:rsidRPr="00087CEE">
        <w:t>large sca</w:t>
      </w:r>
      <w:r w:rsidR="0081753C" w:rsidRPr="00087CEE">
        <w:rPr>
          <w:rFonts w:cs="Times New Roman"/>
        </w:rPr>
        <w:t>le</w:t>
      </w:r>
      <w:proofErr w:type="gramEnd"/>
      <w:r w:rsidR="0081753C" w:rsidRPr="00087CEE">
        <w:rPr>
          <w:rFonts w:cs="Times New Roman"/>
        </w:rPr>
        <w:t xml:space="preserve"> surveillance program, this insufficient selectivity has the potential to generate tens of thousands of insects weekly, which must be processed and identified in order to locate a potential incursion of </w:t>
      </w:r>
      <w:r w:rsidR="0081753C" w:rsidRPr="00087CEE">
        <w:rPr>
          <w:rFonts w:cs="Times New Roman"/>
          <w:i/>
        </w:rPr>
        <w:t xml:space="preserve">D. </w:t>
      </w:r>
      <w:proofErr w:type="spellStart"/>
      <w:r w:rsidR="0081753C" w:rsidRPr="00087CEE">
        <w:rPr>
          <w:rFonts w:cs="Times New Roman"/>
          <w:i/>
        </w:rPr>
        <w:t>suzukii</w:t>
      </w:r>
      <w:proofErr w:type="spellEnd"/>
      <w:r w:rsidR="0081753C" w:rsidRPr="00087CEE">
        <w:rPr>
          <w:rFonts w:cs="Times New Roman"/>
        </w:rPr>
        <w:t xml:space="preserve"> of which becomes an extremely labour-intensive task.</w:t>
      </w:r>
    </w:p>
    <w:p w14:paraId="2A01AD83" w14:textId="2684A19B" w:rsidR="00087CEE" w:rsidRDefault="006D3986" w:rsidP="00356EA1">
      <w:r>
        <w:t>While m</w:t>
      </w:r>
      <w:r w:rsidR="00087CEE" w:rsidRPr="00087CEE">
        <w:t xml:space="preserve">ale </w:t>
      </w:r>
      <w:r w:rsidR="00087CEE" w:rsidRPr="00087CEE">
        <w:rPr>
          <w:i/>
        </w:rPr>
        <w:t xml:space="preserve">D. </w:t>
      </w:r>
      <w:proofErr w:type="spellStart"/>
      <w:r w:rsidR="00087CEE" w:rsidRPr="00087CEE">
        <w:rPr>
          <w:i/>
        </w:rPr>
        <w:t>suzukii</w:t>
      </w:r>
      <w:proofErr w:type="spellEnd"/>
      <w:r w:rsidR="00087CEE" w:rsidRPr="00087CEE">
        <w:t xml:space="preserve"> can be easily identified from native Australian drosophila by a single black spot on their wings (a feature also shared by other exotic drosophila </w:t>
      </w:r>
      <w:r w:rsidR="00087CEE" w:rsidRPr="00087CEE">
        <w:rPr>
          <w:i/>
        </w:rPr>
        <w:t xml:space="preserve">D. </w:t>
      </w:r>
      <w:proofErr w:type="spellStart"/>
      <w:r w:rsidR="00087CEE" w:rsidRPr="00087CEE">
        <w:rPr>
          <w:i/>
        </w:rPr>
        <w:t>biarmipes</w:t>
      </w:r>
      <w:proofErr w:type="spellEnd"/>
      <w:r w:rsidR="00087CEE" w:rsidRPr="00087CEE">
        <w:t xml:space="preserve"> and </w:t>
      </w:r>
      <w:r w:rsidR="00087CEE" w:rsidRPr="00087CEE">
        <w:rPr>
          <w:i/>
        </w:rPr>
        <w:t xml:space="preserve">D. </w:t>
      </w:r>
      <w:proofErr w:type="spellStart"/>
      <w:r w:rsidR="00087CEE" w:rsidRPr="00087CEE">
        <w:rPr>
          <w:i/>
        </w:rPr>
        <w:t>subpulchrella</w:t>
      </w:r>
      <w:proofErr w:type="spellEnd"/>
      <w:r w:rsidR="00087CEE" w:rsidRPr="00087CEE">
        <w:t xml:space="preserve">), however female flies and larval stages require microscopic or molecular methods of identification. To supplement morphological examination, a number of molecular diagnostic assays have been developed that allow identification of all life stages of </w:t>
      </w:r>
      <w:r w:rsidR="00087CEE" w:rsidRPr="00087CEE">
        <w:rPr>
          <w:i/>
        </w:rPr>
        <w:t xml:space="preserve">D. </w:t>
      </w:r>
      <w:proofErr w:type="spellStart"/>
      <w:r w:rsidR="00087CEE" w:rsidRPr="00087CEE">
        <w:rPr>
          <w:i/>
        </w:rPr>
        <w:t>suzukii</w:t>
      </w:r>
      <w:proofErr w:type="spellEnd"/>
      <w:r w:rsidR="00087CEE" w:rsidRPr="00087CEE">
        <w:rPr>
          <w:i/>
        </w:rPr>
        <w:t xml:space="preserve"> </w:t>
      </w:r>
      <w:r w:rsidR="00087CEE" w:rsidRPr="00087CEE">
        <w:t xml:space="preserve">without the requirement for taxonomic expertise. These molecular methods include DNA barcoding </w:t>
      </w:r>
      <w:r w:rsidR="00087CEE" w:rsidRPr="00087CEE">
        <w:fldChar w:fldCharType="begin" w:fldLock="1"/>
      </w:r>
      <w:r w:rsidR="00087CEE" w:rsidRPr="00087CEE">
        <w:instrText>ADDIN CSL_CITATION {"citationItems":[{"id":"ITEM-1","itemData":{"DOI":"10.1139/gen-2016-0010","ISBN":"0831-2796","ISSN":"0831-2796","PMID":"27792411","abstract":"Since its conception, DNA barcoding has seen a rapid uptake within the research community. Nevertheless, as with many new scientific tools, progression towards the point of routine deployment within diagnostic laboratories has been slow. In this paper, we discuss the application of DNA barcoding in the Defra plant health diagnostic laboratories, where DNA barcoding is used primarily for the identification of invertebrate pests. We present a series of case studies that demonstrate the successful application of DNA barcoding but also reveal some potential limitations to expanded use. The regulated plant pest, Bursephalenchus xylophilus, and one of its vectors, Monochamus alternatus, were found in dining chairs. Some traded wood products are potentially high risk, allowing the movement of longhorn beetles; Trichoferus campestris, Leptura quadrifasciata, and Trichoferus holosericeus were found in a wooden cutlery tray, a railway sleeper, and a dining chair, respectively. An outbreak of Meloidogyne fallax was ..., Depuis son développement, le codage à barres de l’ADN a connu une adoption rapide au sein de la communauté scientifique. Néanmoins, comme pour plusieurs nouveaux outils scientifiques, les avancées en vue d’un usage routinier au sein de laboratoires de diagnostic ont été lentes. Dans ce travail, les auteurs discutent de l’emploi du codage à barres au sein des laboratoires de diagnostique phytosanitaire de DEFRA, où le codage à barres est principalement employé pour l’identification des ravageurs invertébrés. Les auteurs présentent une série d’études de cas le codage à barres a été mis en œuvre avec succès tout en révélant des limitations potentielles à son usage accru. Le parasite réglementé, Bursephalenchus xylophilus, et l’un de ses vecteurs, Monochamus alternatus, ont été retrouvés dans des chaises de salle à manger. Certains produits du bois sont potentiellement à haut risque en facilitant le mouvement des longicornes; Trichoferus campestris, Leptura quadrifasciata et Trichoferus holosericeus ont été t...","author":[{"dropping-particle":"","family":"Hodgetts","given":"Jennifer","non-dropping-particle":"","parse-names":false,"suffix":""},{"dropping-particle":"","family":"Ostojá-Starzewski","given":"Jozef C","non-dropping-particle":"","parse-names":false,"suffix":""},{"dropping-particle":"","family":"Prior","given":"Thomas","non-dropping-particle":"","parse-names":false,"suffix":""},{"dropping-particle":"","family":"Lawson","given":"Rebecca","non-dropping-particle":"","parse-names":false,"suffix":""},{"dropping-particle":"","family":"Hall","given":"Jayne","non-dropping-particle":"","parse-names":false,"suffix":""},{"dropping-particle":"","family":"Boonham","given":"Neil","non-dropping-particle":"","parse-names":false,"suffix":""}],"container-title":"Genome","id":"ITEM-1","issue":"11","issued":{"date-parts":[["2016"]]},"page":"1033-1048","title":"DNA barcoding for biosecurity: case studies from the UK plant protection program","type":"article-journal","volume":"59"},"uris":["http://www.mendeley.com/documents/?uuid=1be2646e-58d5-4e0e-9e0e-9e7d471505cd"]}],"mendeley":{"formattedCitation":"(Hodgetts et al., 2016)","plainTextFormattedCitation":"(Hodgetts et al., 2016)","previouslyFormattedCitation":"(Hodgetts et al., 2016)"},"properties":{"noteIndex":0},"schema":"https://github.com/citation-style-language/schema/raw/master/csl-citation.json"}</w:instrText>
      </w:r>
      <w:r w:rsidR="00087CEE" w:rsidRPr="00087CEE">
        <w:fldChar w:fldCharType="separate"/>
      </w:r>
      <w:r w:rsidR="00087CEE" w:rsidRPr="00087CEE">
        <w:rPr>
          <w:noProof/>
        </w:rPr>
        <w:t>(Hodgetts et al., 2016)</w:t>
      </w:r>
      <w:r w:rsidR="00087CEE" w:rsidRPr="00087CEE">
        <w:fldChar w:fldCharType="end"/>
      </w:r>
      <w:r w:rsidR="00087CEE" w:rsidRPr="00087CEE">
        <w:t xml:space="preserve">, real-time PCR </w:t>
      </w:r>
      <w:r w:rsidR="00087CEE" w:rsidRPr="00087CEE">
        <w:fldChar w:fldCharType="begin" w:fldLock="1"/>
      </w:r>
      <w:r w:rsidR="00087CEE" w:rsidRPr="00087CEE">
        <w:instrText>ADDIN CSL_CITATION {"citationItems":[{"id":"ITEM-1","itemData":{"DOI":"10.1371/journal.pone.0098934","ISSN":"19326203","PMID":"24927410","abstract":"Spotted wing drosophila (Drosophila suzukii) is an emerging pest that began spreading in 2008 and its distribution now includes 13 countries across two continents. Countries where it is established have reported significant economic losses of fresh produce, such as cherries due to this species of fly. At larval stages, it is impossible to identify due to its striking similarities with other cosmopolitan and harmless drosophilids. Molecular methods allow identification but the current technique of DNA barcoding is time consuming. We developed and validated a rapid, highly sensitive and specific assay based on real-time PCR and high resolution melt (HRM) analysis using EvaGreen DNA intercalating dye chemistry. Performance characteristics of this qualitative assay, validation and applicability in a New Zealand quarantine framework are discussed. Application of this robust and independently validated assay across the spectrum of key food production and border protection industries will allow us to reduce the further spread of this damaging species worldwide.","author":[{"dropping-particle":"","family":"Dhami","given":"Manpreet K.","non-dropping-particle":"","parse-names":false,"suffix":""},{"dropping-particle":"","family":"Kumarasinghe","given":"Lalith","non-dropping-particle":"","parse-names":false,"suffix":""}],"container-title":"PLoS ONE","id":"ITEM-1","issue":"6","issued":{"date-parts":[["2014"]]},"title":"A HRM real-time PCR assay for rapid and specific identification of the emerging pest spotted-wing Drosophila (Drosophila suzukii)","type":"article-journal","volume":"9"},"uris":["http://www.mendeley.com/documents/?uuid=e6f3d7a4-ca49-4009-9951-65b08d4720b1"]}],"mendeley":{"formattedCitation":"(Dhami &amp; Kumarasinghe, 2014)","plainTextFormattedCitation":"(Dhami &amp; Kumarasinghe, 2014)","previouslyFormattedCitation":"(Dhami &amp; Kumarasinghe, 2014)"},"properties":{"noteIndex":0},"schema":"https://github.com/citation-style-language/schema/raw/master/csl-citation.json"}</w:instrText>
      </w:r>
      <w:r w:rsidR="00087CEE" w:rsidRPr="00087CEE">
        <w:fldChar w:fldCharType="separate"/>
      </w:r>
      <w:r w:rsidR="00087CEE" w:rsidRPr="00087CEE">
        <w:rPr>
          <w:noProof/>
        </w:rPr>
        <w:t>(Dhami &amp; Kumarasinghe, 2014)</w:t>
      </w:r>
      <w:r w:rsidR="00087CEE" w:rsidRPr="00087CEE">
        <w:fldChar w:fldCharType="end"/>
      </w:r>
      <w:r w:rsidR="00087CEE" w:rsidRPr="00087CEE">
        <w:t xml:space="preserve">, PCR-RFLP </w:t>
      </w:r>
      <w:r w:rsidR="00087CEE" w:rsidRPr="00087CEE">
        <w:fldChar w:fldCharType="begin" w:fldLock="1"/>
      </w:r>
      <w:r w:rsidR="00087CEE" w:rsidRPr="00087CEE">
        <w:instrText>ADDIN CSL_CITATION {"citationItems":[{"id":"ITEM-1","itemData":{"author":[{"dropping-particle":"","family":"Kim","given":"Sh S","non-dropping-particle":"","parse-names":false,"suffix":""},{"dropping-particle":"","family":"Tripodi","given":"A D","non-dropping-particle":"","parse-names":false,"suffix":""},{"dropping-particle":"","family":"Johnson","given":"D T","non-dropping-particle":"","parse-names":false,"suffix":""},{"dropping-particle":"","family":"Szalanski","given":"A L","non-dropping-particle":"","parse-names":false,"suffix":""}],"id":"ITEM-1","issue":"3","issued":{"date-parts":[["2014"]]},"page":"1292-1294","title":"Molecular Diagnostics of Drosophila suzukii ( Diptera : Drosophilidae ) using PCR-RFLP Molecular Diagnostics of Drosophila suzukii ( Diptera : Drosophilidae ) Using PCR-RFLP","type":"article-journal","volume":"107"},"uris":["http://www.mendeley.com/documents/?uuid=2d8149db-a306-4e28-9ffd-763a1f5e92cc"]}],"mendeley":{"formattedCitation":"(S. S. Kim, Tripodi, Johnson, &amp; Szalanski, 2014)","plainTextFormattedCitation":"(S. S. Kim, Tripodi, Johnson, &amp; Szalanski, 2014)","previouslyFormattedCitation":"(S. S. Kim, Tripodi, Johnson, &amp; Szalanski, 2014)"},"properties":{"noteIndex":0},"schema":"https://github.com/citation-style-language/schema/raw/master/csl-citation.json"}</w:instrText>
      </w:r>
      <w:r w:rsidR="00087CEE" w:rsidRPr="00087CEE">
        <w:fldChar w:fldCharType="separate"/>
      </w:r>
      <w:r w:rsidR="00087CEE" w:rsidRPr="00087CEE">
        <w:rPr>
          <w:noProof/>
        </w:rPr>
        <w:t>(S. S. Kim, Tripodi, Johnson, &amp; Szalanski, 2014)</w:t>
      </w:r>
      <w:r w:rsidR="00087CEE" w:rsidRPr="00087CEE">
        <w:fldChar w:fldCharType="end"/>
      </w:r>
      <w:r w:rsidR="00087CEE" w:rsidRPr="00087CEE">
        <w:t xml:space="preserve">, and Loop mediated Isothermal amplification (LAMP) for infield diagnostics </w:t>
      </w:r>
      <w:r w:rsidR="00087CEE" w:rsidRPr="00087CEE">
        <w:fldChar w:fldCharType="begin" w:fldLock="1"/>
      </w:r>
      <w:r w:rsidR="00087CEE" w:rsidRPr="00087CEE">
        <w:instrText>ADDIN CSL_CITATION {"citationItems":[{"id":"ITEM-1","itemData":{"DOI":"10.1016/j.aspen.2016.10.015","ISSN":"12268615","abstract":"Drosophila suzukii, the spotted wing drosophila (SWD), is currently a major pest that causes severe economic losses to thin-skinned, small fruit growers in North America and Europe. The monitoring and early detection of SWD in the field is of the utmost importance for its proper management. Although SWD traps using various attractants have been developed and used for SWD monitoring in the field, they are not specific to SWD; consequently, other insects, including Drosophilidae flies that share high morphological similarities with SWD, are also easily trapped. Thus, all captured flies need to be identified under microscopes by an expert in fly morphological characteristics. In this study, we developed a simple molecular detection tool that rapidly and accurately identifies SWD without sophisticated instruments or expertise. We first identified a gene, Ds10_00012111, that is present in the SWD genome but not in that of any other insect species. Then, we developed the loop-mediated isothermal amplification (LAMP) assay, which was designed based on genomic DNA of the Ds10_00012111 gene. This LAMP assay detected only genomic DNA from SWD—not from Drosophila melanogaster. The minimum amount of genomic DNA required for the LAMP assay was 1.0 picogram, and the duration of this assay at temperatures ranging from 58 °C to 62 °C was 30 min. In addition, this assay could detect genomic DNA in SWD geographical strains collected from 8 different locations in Asia, Europe, Hawaii, and the USA. Our LAMP assay could be a useful detection tool for identifying SWD rapidly in the field.","author":[{"dropping-particle":"","family":"Kim","given":"Young Ha","non-dropping-particle":"","parse-names":false,"suffix":""},{"dropping-particle":"","family":"Hur","given":"Joon Haeng","non-dropping-particle":"","parse-names":false,"suffix":""},{"dropping-particle":"","family":"Lee","given":"Gwan Seok","non-dropping-particle":"","parse-names":false,"suffix":""},{"dropping-particle":"","family":"Choi","given":"Man Yeon","non-dropping-particle":"","parse-names":false,"suffix":""},{"dropping-particle":"","family":"Koh","given":"Young Ho","non-dropping-particle":"","parse-names":false,"suffix":""}],"container-title":"Journal of Asia-Pacific Entomology","id":"ITEM-1","issue":"4","issued":{"date-parts":[["2016"]]},"page":"1211-1216","publisher":"Elsevier B.V.","title":"Rapid and highly accurate detection of Drosophila suzukii, spotted wing Drosophila (Diptera: Drosophilidae) by loop-mediated isothermal amplification assays","type":"article-journal","volume":"19"},"uris":["http://www.mendeley.com/documents/?uuid=55da41b5-2c88-45e3-8b65-84d544dbe6d1"]}],"mendeley":{"formattedCitation":"(Y. H. Kim, Hur, Lee, Choi, &amp; Koh, 2016)","plainTextFormattedCitation":"(Y. H. Kim, Hur, Lee, Choi, &amp; Koh, 2016)","previouslyFormattedCitation":"(Y. H. Kim, Hur, Lee, Choi, &amp; Koh, 2016)"},"properties":{"noteIndex":0},"schema":"https://github.com/citation-style-language/schema/raw/master/csl-citation.json"}</w:instrText>
      </w:r>
      <w:r w:rsidR="00087CEE" w:rsidRPr="00087CEE">
        <w:fldChar w:fldCharType="separate"/>
      </w:r>
      <w:r w:rsidR="00087CEE" w:rsidRPr="00087CEE">
        <w:rPr>
          <w:noProof/>
        </w:rPr>
        <w:t>(Y. H. Kim, Hur, Lee, Choi, &amp; Koh, 2016)</w:t>
      </w:r>
      <w:r w:rsidR="00087CEE" w:rsidRPr="00087CEE">
        <w:fldChar w:fldCharType="end"/>
      </w:r>
      <w:r w:rsidR="00087CEE" w:rsidRPr="00087CEE">
        <w:t xml:space="preserve">. </w:t>
      </w:r>
      <w:r w:rsidR="00087CEE" w:rsidRPr="00087CEE">
        <w:rPr>
          <w:rFonts w:cs="Times New Roman"/>
        </w:rPr>
        <w:t xml:space="preserve">While both molecular and morphological identification methods have played an important role in confirming </w:t>
      </w:r>
      <w:r w:rsidR="00087CEE" w:rsidRPr="00087CEE">
        <w:rPr>
          <w:rFonts w:cs="Times New Roman"/>
          <w:i/>
        </w:rPr>
        <w:t xml:space="preserve">D. </w:t>
      </w:r>
      <w:proofErr w:type="spellStart"/>
      <w:r w:rsidR="00087CEE" w:rsidRPr="00087CEE">
        <w:rPr>
          <w:rFonts w:cs="Times New Roman"/>
          <w:i/>
        </w:rPr>
        <w:t>suzukii</w:t>
      </w:r>
      <w:proofErr w:type="spellEnd"/>
      <w:r w:rsidR="00087CEE" w:rsidRPr="00087CEE">
        <w:rPr>
          <w:rFonts w:cs="Times New Roman"/>
          <w:i/>
        </w:rPr>
        <w:t xml:space="preserve"> </w:t>
      </w:r>
      <w:r w:rsidR="00087CEE" w:rsidRPr="00087CEE">
        <w:rPr>
          <w:rFonts w:cs="Times New Roman"/>
        </w:rPr>
        <w:t xml:space="preserve">incursions in the past </w:t>
      </w:r>
      <w:r w:rsidR="00087CEE" w:rsidRPr="00087CEE">
        <w:rPr>
          <w:rFonts w:cs="Times New Roman"/>
        </w:rPr>
        <w:fldChar w:fldCharType="begin" w:fldLock="1"/>
      </w:r>
      <w:r w:rsidR="00087CEE" w:rsidRPr="00087CEE">
        <w:rPr>
          <w:rFonts w:cs="Times New Roman"/>
        </w:rPr>
        <w:instrText>ADDIN CSL_CITATION {"citationItems":[{"id":"ITEM-1","itemData":{"DOI":"10.1007/s10340-015-0681-z","ISBN":"1097301222","ISSN":"16124758","abstract":"General overview of drosophila suzukii in its status as a global pest. Summary of known biology, general threats, overview of status on each continent, and prospects for control.","author":[{"dropping-particle":"","family":"Asplen","given":"Mark K.","non-dropping-particle":"","parse-names":false,"suffix":""},{"dropping-particle":"","family":"Anfora","given":"Gianfranco","non-dropping-particle":"","parse-names":false,"suffix":""},{"dropping-particle":"","family":"Biondi","given":"Antonio","non-dropping-particle":"","parse-names":false,"suffix":""},{"dropping-particle":"","family":"Choi","given":"Deuk Soo","non-dropping-particle":"","parse-names":false,"suffix":""},{"dropping-particle":"","family":"Chu","given":"Dong","non-dropping-particle":"","parse-names":false,"suffix":""},{"dropping-particle":"","family":"Daane","given":"Kent M.","non-dropping-particle":"","parse-names":false,"suffix":""},{"dropping-particle":"","family":"Gibert","given":"Patricia","non-dropping-particle":"","parse-names":false,"suffix":""},{"dropping-particle":"","family":"Gutierrez","given":"Andrew P.","non-dropping-particle":"","parse-names":false,"suffix":""},{"dropping-particle":"","family":"Hoelmer","given":"Kim A.","non-dropping-particle":"","parse-names":false,"suffix":""},{"dropping-particle":"","family":"Hutchison","given":"William D.","non-dropping-particle":"","parse-names":false,"suffix":""},{"dropping-particle":"","family":"Isaacs","given":"Rufus","non-dropping-particle":"","parse-names":false,"suffix":""},{"dropping-particle":"","family":"Jiang","given":"Zhi Lin","non-dropping-particle":"","parse-names":false,"suffix":""},{"dropping-particle":"","family":"Kárpáti","given":"Zsolt","non-dropping-particle":"","parse-names":false,"suffix":""},{"dropping-particle":"","family":"Kimura","given":"Masahito T.","non-dropping-particle":"","parse-names":false,"suffix":""},{"dropping-particle":"","family":"Pascual","given":"Marta","non-dropping-particle":"","parse-names":false,"suffix":""},{"dropping-particle":"","family":"Philips","given":"Christopher R.","non-dropping-particle":"","parse-names":false,"suffix":""},{"dropping-particle":"","family":"Plantamp","given":"Christophe","non-dropping-particle":"","parse-names":false,"suffix":""},{"dropping-particle":"","family":"Ponti","given":"Luigi","non-dropping-particle":"","parse-names":false,"suffix":""},{"dropping-particle":"","family":"Vétek","given":"Gábor","non-dropping-particle":"","parse-names":false,"suffix":""},{"dropping-particle":"","family":"Vogt","given":"Heidrun","non-dropping-particle":"","parse-names":false,"suffix":""},{"dropping-particle":"","family":"Walton","given":"Vaughn M.","non-dropping-particle":"","parse-names":false,"suffix":""},{"dropping-particle":"","family":"Yu","given":"Yi","non-dropping-particle":"","parse-names":false,"suffix":""},{"dropping-particle":"","family":"Zappalà","given":"Lucia","non-dropping-particle":"","parse-names":false,"suffix":""},{"dropping-particle":"","family":"Desneux","given":"Nicolas","non-dropping-particle":"","parse-names":false,"suffix":""}],"container-title":"Journal of Pest Science","id":"ITEM-1","issue":"3","issued":{"date-parts":[["2015"]]},"page":"469-494","publisher":"Springer Berlin Heidelberg","title":"Invasion biology of spotted wing Drosophila (Drosophila suzukii): a global perspective and future priorities","type":"article-journal","volume":"88"},"uris":["http://www.mendeley.com/documents/?uuid=8d9968cf-4041-4efd-be96-7e88e89856cf"]}],"mendeley":{"formattedCitation":"(Asplen et al., 2015)","plainTextFormattedCitation":"(Asplen et al., 2015)","previouslyFormattedCitation":"(Asplen et al., 2015)"},"properties":{"noteIndex":0},"schema":"https://github.com/citation-style-language/schema/raw/master/csl-citation.json"}</w:instrText>
      </w:r>
      <w:r w:rsidR="00087CEE" w:rsidRPr="00087CEE">
        <w:rPr>
          <w:rFonts w:cs="Times New Roman"/>
        </w:rPr>
        <w:fldChar w:fldCharType="separate"/>
      </w:r>
      <w:r w:rsidR="00087CEE" w:rsidRPr="00087CEE">
        <w:rPr>
          <w:rFonts w:cs="Times New Roman"/>
          <w:noProof/>
        </w:rPr>
        <w:t>(Asplen et al., 2015)</w:t>
      </w:r>
      <w:r w:rsidR="00087CEE" w:rsidRPr="00087CEE">
        <w:rPr>
          <w:rFonts w:cs="Times New Roman"/>
        </w:rPr>
        <w:fldChar w:fldCharType="end"/>
      </w:r>
      <w:r w:rsidR="00087CEE" w:rsidRPr="00087CEE">
        <w:rPr>
          <w:rFonts w:cs="Times New Roman"/>
        </w:rPr>
        <w:t>, a major shortfall for surveillance programs covering large geographic scales is the</w:t>
      </w:r>
      <w:r w:rsidR="00087CEE" w:rsidRPr="00087CEE">
        <w:t xml:space="preserve"> time-consuming and costly process of </w:t>
      </w:r>
      <w:r w:rsidR="00087CEE" w:rsidRPr="00087CEE">
        <w:lastRenderedPageBreak/>
        <w:t xml:space="preserve">conducting </w:t>
      </w:r>
      <w:r w:rsidR="00087CEE" w:rsidRPr="00087CEE">
        <w:rPr>
          <w:rFonts w:cs="Times New Roman"/>
        </w:rPr>
        <w:t xml:space="preserve">single reactions on individual </w:t>
      </w:r>
      <w:r w:rsidR="00087CEE" w:rsidRPr="00087CEE">
        <w:t xml:space="preserve">specimens to obtain an identification. </w:t>
      </w:r>
      <w:r w:rsidR="00087CEE" w:rsidRPr="00087CEE">
        <w:rPr>
          <w:rFonts w:cs="Times New Roman"/>
        </w:rPr>
        <w:t xml:space="preserve">In order to dramatically increase the throughput of insect identification for biosecurity surveillance,  recent studies have looked to ‘DNA metabarcoding’, or the coupling of DNA barcoding to next generation sequencing to allow barcodes to be generated in a massively massively-parallel manner </w:t>
      </w:r>
      <w:r w:rsidR="00087CEE" w:rsidRPr="00087CEE">
        <w:rPr>
          <w:rFonts w:cs="Times New Roman"/>
        </w:rPr>
        <w:fldChar w:fldCharType="begin" w:fldLock="1"/>
      </w:r>
      <w:r w:rsidR="00C23635">
        <w:rPr>
          <w:rFonts w:cs="Times New Roman"/>
        </w:rPr>
        <w:instrText>ADDIN CSL_CITATION {"citationItems":[{"id":"ITEM-1","itemData":{"DOI":"10.1111/1755-0998.12682","ISSN":"1755-0998","PMID":"28417591","abstract":"Effective vector and arbovirus surveillance requires timely and accurate screening techniques that can be easily upscaled. Next-generation sequencing {(NGS)} is a high-throughput technology that has the potential to modernize vector surveillance. When combined with {DNA} barcoding, it is termed ‘metabarcoding.’ The aim of our study was to establish a metabarcoding protocol to characterize pools of mosquitoes and screen them for virus. Pools contained 100 morphologically identified individuals, including one Ross River virus {(RRV)} infected mosquito, with three species present at different proportions: 1, 5, 94%. Nucleic acid extracted from both crude homogenate and supernatant was used to amplify a 269-bp section of the mitochondrial cytochrome c oxidase subunit I {(COI)} locus. Additionally, a 67-bp region of the {RRV} E2 gene was amplified from synthesized {cDNA} to screen for {RRV.} Amplicon sequencing was performed using an Illumina {MiSeq,} and bioinformatic analysis was performed using a {DNA} barcode database of Victorian mosquitoes. Metabarcoding successfully detected all mosquito species and {RRV} in every positive sample tested. The limits of species detection were also examined by screening a pool of 1000 individuals, successfully identifying the species and {RRV} from a single mosquito. The primers used for amplification, number of {PCR} cycles and total number of individuals present all have effects on the quantification of species in mixed bulk samples. Based on the results, a number of recommendations for future metabarcoding studies are presented. Overall, metabarcoding shows great promise for providing a new alternative approach to screening large insect surveillance trap catches.","author":[{"dropping-particle":"","family":"Batovska","given":"J","non-dropping-particle":"","parse-names":false,"suffix":""},{"dropping-particle":"","family":"Lynch","given":"S E","non-dropping-particle":"","parse-names":false,"suffix":""},{"dropping-particle":"","family":"Cogan","given":"N O I","non-dropping-particle":"","parse-names":false,"suffix":""},{"dropping-particle":"","family":"Brown","given":"K","non-dropping-particle":"","parse-names":false,"suffix":""},{"dropping-particle":"","family":"Darbro","given":"J M","non-dropping-particle":"","parse-names":false,"suffix":""},{"dropping-particle":"","family":"Kho","given":"E A","non-dropping-particle":"","parse-names":false,"suffix":""},{"dropping-particle":"","family":"Blacket","given":"M J","non-dropping-particle":"","parse-names":false,"suffix":""}],"container-title":"Mol Ecol Resour","id":"ITEM-1","issue":"1","issued":{"date-parts":[["2018"]]},"page":"32-40","title":"Effective mosquito and arbovirus surveillance using metabarcoding","type":"article-journal","volume":"18"},"uris":["http://www.mendeley.com/documents/?uuid=89e4b7b8-219b-4181-aa6e-ea751aa71598"]},{"id":"ITEM-2","itemData":{"DOI":"10.1111/1755-0998.12556","ISBN":"1755-0998","ISSN":"17550998","PMID":"27292284","abstract":"Phlebotomine sand flies are haematophagous dipterans of primary medical importance. They represent the only proven vectors of leishmaniasis worldwide and are involved in the transmission of various other pathogens. Studying the ecology of sand flies is crucial to understand the epidemiology of leishmaniasis and further control this disease. A major limitation in this regard is that traditional morphological-based methods for sand fly species identifications are time-consuming and require taxonomic expertise. DNA metabarcoding holds great promise in overcoming this issue by allowing the identification of multiple species from a single bulk sample. Here, we assessed the reliability of a short insect metabarcode located in the mitochondrial 16S rRNA for the identification of Neotropical sand flies, and constructed a reference database for 40 species found in French Guiana. Then, we conducted a metabarcoding experiment on sand flies mixtures of known content and showed that the method allows an accurate identification of specimens in pools. Finally, we applied metabarcoding to field samples caught in a 1-ha forest plot in French Guiana. Besides providing reliable molecular data for species-level assignations of phlebotomine sand flies, our study proves the efficiency of metabarcoding based on the mitochondrial 16S rRNA for studying sand fly diversity from bulk samples. The application of this high-throughput identification procedure to field samples can provide great opportunities for vector monitoring and eco-epidemiological studies.","author":[{"dropping-particle":"","family":"Kocher","given":"Arthur","non-dropping-particle":"","parse-names":false,"suffix":""},{"dropping-particle":"","family":"Gantier","given":"Jean Charles","non-dropping-particle":"","parse-names":false,"suffix":""},{"dropping-particle":"","family":"Gaborit","given":"Pascal","non-dropping-particle":"","parse-names":false,"suffix":""},{"dropping-particle":"","family":"Zinger","given":"Lucie","non-dropping-particle":"","parse-names":false,"suffix":""},{"dropping-particle":"","family":"Holota","given":"Helene","non-dropping-particle":"","parse-names":false,"suffix":""},{"dropping-particle":"","family":"Valiere","given":"Sophie","non-dropping-particle":"","parse-names":false,"suffix":""},{"dropping-particle":"","family":"Dusfour","given":"Isabelle","non-dropping-particle":"","parse-names":false,"suffix":""},{"dropping-particle":"","family":"Girod","given":"Romain","non-dropping-particle":"","parse-names":false,"suffix":""},{"dropping-particle":"","family":"Bañuls","given":"Anne Laure","non-dropping-particle":"","parse-names":false,"suffix":""},{"dropping-particle":"","family":"Murienne","given":"Jerome","non-dropping-particle":"","parse-names":false,"suffix":""}],"container-title":"Molecular Ecology Resources","id":"ITEM-2","issue":"2","issued":{"date-parts":[["2017"]]},"page":"172-182","title":"Vector soup: high-throughput identification of Neotropical phlebotomine sand flies using metabarcoding","type":"article-journal","volume":"17"},"uris":["http://www.mendeley.com/documents/?uuid=c81fb3ac-7f82-4066-9c44-f06d81513848"]},{"id":"ITEM-3","itemData":{"DOI":"10.1007/s10530-015-0854-y","ISBN":"1387-3547","ISSN":"13873547","abstract":"Biological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Invasions","id":"ITEM-3","issue":"3","issued":{"date-parts":[["2015"]]},"page":"905-922","title":"DNA (meta)barcoding of biological invasions: a powerful tool to elucidate invasion processes and help managing aliens","type":"article-journal","volume":"17"},"uris":["http://www.mendeley.com/documents/?uuid=46ed9f8f-da95-4647-b688-6d345b52e8bc"]}],"mendeley":{"formattedCitation":"(Comtet, Sandionigi, Viard, &amp; Casiraghi, 2015; Kocher et al., 2017; Batovska et al., 2018)","plainTextFormattedCitation":"(Comtet, Sandionigi, Viard, &amp; Casiraghi, 2015; Kocher et al., 2017; Batovska et al., 2018)","previouslyFormattedCitation":"(Comtet, Sandionigi, Viard, &amp; Casiraghi, 2015; Kocher et al., 2017; Batovska et al., 2018)"},"properties":{"noteIndex":0},"schema":"https://github.com/citation-style-language/schema/raw/master/csl-citation.json"}</w:instrText>
      </w:r>
      <w:r w:rsidR="00087CEE" w:rsidRPr="00087CEE">
        <w:rPr>
          <w:rFonts w:cs="Times New Roman"/>
        </w:rPr>
        <w:fldChar w:fldCharType="separate"/>
      </w:r>
      <w:r w:rsidR="00447F6F" w:rsidRPr="00447F6F">
        <w:rPr>
          <w:rFonts w:cs="Times New Roman"/>
          <w:noProof/>
        </w:rPr>
        <w:t>(Comtet, Sandionigi, Viard, &amp; Casiraghi, 2015; Kocher et al., 2017; Batovska et al., 2018)</w:t>
      </w:r>
      <w:r w:rsidR="00087CEE" w:rsidRPr="00087CEE">
        <w:rPr>
          <w:rFonts w:cs="Times New Roman"/>
        </w:rPr>
        <w:fldChar w:fldCharType="end"/>
      </w:r>
      <w:r w:rsidR="00087CEE" w:rsidRPr="00087CEE">
        <w:rPr>
          <w:rFonts w:cs="Times New Roman"/>
        </w:rPr>
        <w:t>. This process, termed ‘metabarcoding’ generates</w:t>
      </w:r>
      <w:r w:rsidR="00087CEE" w:rsidRPr="00087CEE">
        <w:t xml:space="preserve"> a large number of individual DNA barcode sequences in a single reaction,</w:t>
      </w:r>
      <w:r w:rsidR="00087CEE" w:rsidRPr="00087CEE">
        <w:rPr>
          <w:rFonts w:cs="Times New Roman"/>
        </w:rPr>
        <w:t xml:space="preserve"> enabling the simultaneous identification of all organisms in complexed mixed communities, such as the contents of drosophila trap samples. Moreover, the ability to survey entire communities in a single reaction may enable a truly generic diagnostic system for </w:t>
      </w:r>
      <w:r w:rsidR="00087CEE" w:rsidRPr="00087CEE">
        <w:t xml:space="preserve">detection of not just target pests but also other unanticipated species that are not being actively searched for </w:t>
      </w:r>
      <w:r w:rsidR="00087CEE" w:rsidRPr="00087CEE">
        <w:fldChar w:fldCharType="begin" w:fldLock="1"/>
      </w:r>
      <w:r w:rsidR="00447F6F">
        <w:instrText>ADDIN CSL_CITATION {"citationItems":[{"id":"ITEM-1","itemData":{"DOI":"10.1007/s10530-015-0854-y","ISBN":"1387-3547","ISSN":"13873547","abstract":"Biological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Invasions","id":"ITEM-1","issue":"3","issued":{"date-parts":[["2015"]]},"page":"905-922","title":"DNA (meta)barcoding of biological invasions: a powerful tool to elucidate invasion processes and help managing aliens","type":"article-journal","volume":"17"},"uris":["http://www.mendeley.com/documents/?uuid=46ed9f8f-da95-4647-b688-6d345b52e8bc"]},{"id":"ITEM-2","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Sciences","id":"ITEM-2","issue":"1","issued":{"date-parts":[["2016"]]},"page":"76-83","title":"Active and passive environmental DNA surveillance of aquatic invasive species","type":"article-journal","volume":"73"},"uris":["http://www.mendeley.com/documents/?uuid=f4148ffd-b42f-4c17-8880-8063966a8005"]},{"id":"ITEM-3","itemData":{"DOI":"10.1111/bij.12516","author":[{"dropping-particle":"","family":"Lawson Handley","given":"Lori","non-dropping-particle":"","parse-names":false,"suffix":""}],"container-title":"Biological Journal of the Linnean Society","id":"ITEM-3","issue":"3","issued":{"date-parts":[["2015"]]},"page":"750-766","title":"How will the 'molecular revolution' contribute to biological recording?","type":"article-journal","volume":"115"},"uris":["http://www.mendeley.com/documents/?uuid=99be49d0-1b29-480e-a917-0ab106536739"]}],"mendeley":{"formattedCitation":"(Comtet et al., 2015; Lawson Handley, 2015; Simmons et al., 2016)","plainTextFormattedCitation":"(Comtet et al., 2015; Lawson Handley, 2015; Simmons et al., 2016)","previouslyFormattedCitation":"(Comtet et al., 2015; Lawson Handley, 2015; Simmons et al., 2016)"},"properties":{"noteIndex":0},"schema":"https://github.com/citation-style-language/schema/raw/master/csl-citation.json"}</w:instrText>
      </w:r>
      <w:r w:rsidR="00087CEE" w:rsidRPr="00087CEE">
        <w:fldChar w:fldCharType="separate"/>
      </w:r>
      <w:r w:rsidR="00087CEE" w:rsidRPr="00087CEE">
        <w:rPr>
          <w:noProof/>
        </w:rPr>
        <w:t>(Comtet et al., 2015; Lawson Handley, 2015; Simmons et al., 2016)</w:t>
      </w:r>
      <w:r w:rsidR="00087CEE" w:rsidRPr="00087CEE">
        <w:fldChar w:fldCharType="end"/>
      </w:r>
      <w:r w:rsidR="00087CEE" w:rsidRPr="00087CEE">
        <w:t xml:space="preserve">. </w:t>
      </w:r>
      <w:r w:rsidR="00835E63">
        <w:t>The</w:t>
      </w:r>
      <w:r w:rsidR="00835E63" w:rsidRPr="00087CEE">
        <w:t xml:space="preserve"> broad taxonomic scope further enables metabarcoding assays to detect not just target species of concern, but also reveal the presence of previously unrecorded introduced species that have been missed by former targeted diagnostic approaches (Batovska et al 2020).</w:t>
      </w:r>
    </w:p>
    <w:p w14:paraId="7A5EEF59" w14:textId="45A20C1D" w:rsidR="004626C8" w:rsidRDefault="004626C8" w:rsidP="00356EA1">
      <w:r>
        <w:t>Despite these advantages, for biosecurity and pest management ensuring the accuracy of detections must be a priority, especially in light of new methods for false positives to be introduced.</w:t>
      </w:r>
      <w:r>
        <w:rPr>
          <w:rFonts w:cs="Times New Roman"/>
        </w:rPr>
        <w:t xml:space="preserve"> W</w:t>
      </w:r>
      <w:r w:rsidR="00087CEE" w:rsidRPr="00087CEE">
        <w:rPr>
          <w:rFonts w:cs="Times New Roman"/>
        </w:rPr>
        <w:t xml:space="preserve">hile the use of reference standards, controls, and replication forms a cornerstone of diagnostics applications, their use in many published metabarcoding studies to date have been lacking </w:t>
      </w:r>
      <w:r w:rsidR="00087CEE" w:rsidRPr="00087CEE">
        <w:rPr>
          <w:rFonts w:cs="Times New Roman"/>
        </w:rPr>
        <w:fldChar w:fldCharType="begin" w:fldLock="1"/>
      </w:r>
      <w:r w:rsidR="00087CEE" w:rsidRPr="00087CEE">
        <w:rPr>
          <w:rFonts w:cs="Times New Roman"/>
        </w:rPr>
        <w:instrText>ADDIN CSL_CITATION {"citationItems":[{"id":"ITEM-1","itemData":{"DOI":"10.1111/mec.15060","ISSN":"0962-1083","abstract":"DNA metabarcoding, especially when coupled with high‐throughput DNA sequencing, is currently revolutionizing our capacity to assess biodiversity across a full range of taxa and habitats, from soil microbes (e.g., Thompson et al., 2017) to large marine fish (e.g., Thomsen et al., 2016), and from contemporary to tens of thousands year‐old biological communities (e.g., Willerslev et al., 2003). The breadth of potential applications is immense and spans surveys on the diversity or diet of species native to specific ecosystems to bioindication (Pawlowski et al., 2018). The approach is also especially cost‐effective and easy to implement, which makes DNA metabarcoding one of the tools of choice of the 21st century for fundamental research and the future of large‐scale biodiversity monitoring programs (reviewed in Bohan et al., 2017; Creer et al., 2016; Taberlet, Bonin, Zinger, &amp; Coissac, 2018; Thomsen &amp; Willerslev, 2015). However, as is often the case with any emerging technology, we feel that the rise of DNA metabarcoding is occurring at a pace and in a manner that often loses sight of the challenges in producing high‐quality and reproducible data (Baker, 2016). DNA metabarcoding is by essence a multidisciplinary approach building upon many complementary expertises, including field and theoretical knowledge, taxonomic expertise, molecular biology, bioinformatics, and computational statistics. Combining all these within single studies is necessary, not so much for producing and analyzing the data per se, but rather for minimizing and controlling the possible biases that can be introduced at any step of the experimental workflow—i.e., from the sampling to data analysis—and that can lead to spurious ecological conclusions (reviewed in Bálint et al., 2016; Nilsson et al., 2019; Dickie et al., 2018; Taberlet et al., 2018).","author":[{"dropping-particle":"","family":"Zinger","given":"Lucie","non-dropping-particle":"","parse-names":false,"suffix":""},{"dropping-particle":"","family":"Bonin","given":"Aurélie","non-dropping-particle":"","parse-names":false,"suffix":""},{"dropping-particle":"","family":"Alsos","given":"Inger G.","non-dropping-particle":"","parse-names":false,"suffix":""},{"dropping-particle":"","family":"Bálint","given":"Miklós","non-dropping-particle":"","parse-names":false,"suffix":""},{"dropping-particle":"","family":"Bik","given":"Holly","non-dropping-particle":"","parse-names":false,"suffix":""},{"dropping-particle":"","family":"Boyer","given":"Frédéric","non-dropping-particle":"","parse-names":false,"suffix":""},{"dropping-particle":"","family":"Chariton","given":"Anthony A.","non-dropping-particle":"","parse-names":false,"suffix":""},{"dropping-particle":"","family":"Creer","given":"Simon","non-dropping-particle":"","parse-names":false,"suffix":""},{"dropping-particle":"","family":"Coissac","given":"Eric","non-dropping-particle":"","parse-names":false,"suffix":""},{"dropping-particle":"","family":"Deagle","given":"Bruce E.","non-dropping-particle":"","parse-names":false,"suffix":""},{"dropping-particle":"","family":"Barba","given":"Marta","non-dropping-particle":"De","parse-names":false,"suffix":""},{"dropping-particle":"","family":"Dickie","given":"Ian A.","non-dropping-particle":"","parse-names":false,"suffix":""},{"dropping-particle":"","family":"Dumbrell","given":"Alex J.","non-dropping-particle":"","parse-names":false,"suffix":""},{"dropping-particle":"","family":"Ficetola","given":"Gentile Francesco","non-dropping-particle":"","parse-names":false,"suffix":""},{"dropping-particle":"","family":"Fierer","given":"Noah","non-dropping-particle":"","parse-names":false,"suffix":""},{"dropping-particle":"","family":"Fumagalli","given":"Luca","non-dropping-particle":"","parse-names":false,"suffix":""},{"dropping-particle":"","family":"Gilbert","given":"M. Thomas P.","non-dropping-particle":"","parse-names":false,"suffix":""},{"dropping-particle":"","family":"Jarman","given":"Simon","non-dropping-particle":"","parse-names":false,"suffix":""},{"dropping-particle":"","family":"Jumpponen","given":"Ari","non-dropping-particle":"","parse-names":false,"suffix":""},{"dropping-particle":"","family":"Kauserud","given":"Håvard","non-dropping-particle":"","parse-names":false,"suffix":""},{"dropping-particle":"","family":"Orlando","given":"Ludovic","non-dropping-particle":"","parse-names":false,"suffix":""},{"dropping-particle":"","family":"Pansu","given":"Johan","non-dropping-particle":"","parse-names":false,"suffix":""},{"dropping-particle":"","family":"Pawlowski","given":"Jan","non-dropping-particle":"","parse-names":false,"suffix":""},{"dropping-particle":"","family":"Tedersoo","given":"Leho","non-dropping-particle":"","parse-names":false,"suffix":""},{"dropping-particle":"","family":"Thomsen","given":"Philip Francis","non-dropping-particle":"","parse-names":false,"suffix":""},{"dropping-particle":"","family":"Willerslev","given":"Eske","non-dropping-particle":"","parse-names":false,"suffix":""},{"dropping-particle":"","family":"Taberlet","given":"Pierre","non-dropping-particle":"","parse-names":false,"suffix":""}],"container-title":"Molecular Ecology","id":"ITEM-1","issue":"8","issued":{"date-parts":[["2019"]]},"page":"1857-1862","title":"DNA metabarcoding—Need for robust experimental designs to draw sound ecological conclusions","type":"article-journal","volume":"28"},"uris":["http://www.mendeley.com/documents/?uuid=ff54d8fe-4102-4aeb-a402-aa6a74b74724"]}],"mendeley":{"formattedCitation":"(Zinger et al., 2019)","plainTextFormattedCitation":"(Zinger et al., 2019)","previouslyFormattedCitation":"(Zinger et al., 2019)"},"properties":{"noteIndex":0},"schema":"https://github.com/citation-style-language/schema/raw/master/csl-citation.json"}</w:instrText>
      </w:r>
      <w:r w:rsidR="00087CEE" w:rsidRPr="00087CEE">
        <w:rPr>
          <w:rFonts w:cs="Times New Roman"/>
        </w:rPr>
        <w:fldChar w:fldCharType="separate"/>
      </w:r>
      <w:r w:rsidR="00087CEE" w:rsidRPr="00087CEE">
        <w:rPr>
          <w:rFonts w:cs="Times New Roman"/>
          <w:noProof/>
        </w:rPr>
        <w:t>(Zinger et al., 2019)</w:t>
      </w:r>
      <w:r w:rsidR="00087CEE" w:rsidRPr="00087CEE">
        <w:rPr>
          <w:rFonts w:cs="Times New Roman"/>
        </w:rPr>
        <w:fldChar w:fldCharType="end"/>
      </w:r>
      <w:r w:rsidR="00087CEE" w:rsidRPr="00087CEE">
        <w:rPr>
          <w:rFonts w:cs="Times New Roman"/>
        </w:rPr>
        <w:t xml:space="preserve">. </w:t>
      </w:r>
      <w:r>
        <w:t>Flexible scope or methods-based validation has recently been proposed for metabarcoding. This places emphasis on defining critical components of the workflow that are monitored with ongoing QC. We develop a robust bioinformatic pipeline and appropriate QC checkpoints for detection.</w:t>
      </w:r>
    </w:p>
    <w:p w14:paraId="0C3DE56E" w14:textId="77777777" w:rsidR="006E7149" w:rsidRDefault="00087CEE" w:rsidP="00356EA1">
      <w:pPr>
        <w:rPr>
          <w:i/>
        </w:rPr>
      </w:pPr>
      <w:r w:rsidRPr="00087CEE">
        <w:lastRenderedPageBreak/>
        <w:t xml:space="preserve">In this article we develop a standardised laboratory and bioinformatic methods for </w:t>
      </w:r>
      <w:r w:rsidR="006E7149">
        <w:t xml:space="preserve">metabarcoding based </w:t>
      </w:r>
      <w:proofErr w:type="gramStart"/>
      <w:r w:rsidR="006E7149">
        <w:t>diagnostics, and</w:t>
      </w:r>
      <w:proofErr w:type="gramEnd"/>
      <w:r w:rsidR="006E7149">
        <w:t xml:space="preserve"> evaluate its ability f</w:t>
      </w:r>
      <w:r w:rsidRPr="00087CEE">
        <w:t xml:space="preserve">or detection </w:t>
      </w:r>
      <w:r w:rsidR="006E7149">
        <w:t xml:space="preserve">and quantification </w:t>
      </w:r>
      <w:r w:rsidRPr="00087CEE">
        <w:t xml:space="preserve">of </w:t>
      </w:r>
      <w:r w:rsidRPr="00087CEE">
        <w:rPr>
          <w:i/>
        </w:rPr>
        <w:t xml:space="preserve">D. </w:t>
      </w:r>
      <w:proofErr w:type="spellStart"/>
      <w:r w:rsidRPr="00087CEE">
        <w:rPr>
          <w:i/>
        </w:rPr>
        <w:t>suzukii</w:t>
      </w:r>
      <w:proofErr w:type="spellEnd"/>
      <w:r w:rsidRPr="00087CEE">
        <w:t xml:space="preserve"> in a large background of native Australian insects. In addition to following best practices in use of negative controls and replication, </w:t>
      </w:r>
      <w:r w:rsidRPr="00087CEE">
        <w:rPr>
          <w:rFonts w:cs="Times New Roman"/>
        </w:rPr>
        <w:t xml:space="preserve">we use a novel PHMM based approach to generate a synthetic COI sequences for use as a positive control for run-to-run quality control </w:t>
      </w:r>
      <w:r w:rsidRPr="00087CEE">
        <w:rPr>
          <w:rFonts w:cs="Times New Roman"/>
        </w:rPr>
        <w:fldChar w:fldCharType="begin" w:fldLock="1"/>
      </w:r>
      <w:r w:rsidRPr="00087CEE">
        <w:rPr>
          <w:rFonts w:cs="Times New Roman"/>
        </w:rPr>
        <w:instrText>ADDIN CSL_CITATION {"citationItems":[{"id":"ITEM-1","itemData":{"DOI":"10.1038/nrg.2017.44","ISBN":"1471-0064 (Electronic) 1471-0056 (Linking)","ISSN":"14710064","PMID":"28626224","abstract":"Technical errors can hamper the interpretation of next-generation sequencing (NGS) data, which poses a major challenge for the clinical application of this technology. This Review discusses how reference standards circumvent this issue by calibrating NGS measurements and evaluating diagnostic performance of NGS-based genetic tests.","author":[{"dropping-particle":"","family":"Hardwick","given":"Simon A.","non-dropping-particle":"","parse-names":false,"suffix":""},{"dropping-particle":"","family":"Deveson","given":"Ira W.","non-dropping-particle":"","parse-names":false,"suffix":""},{"dropping-particle":"","family":"Mercer","given":"Tim R.","non-dropping-particle":"","parse-names":false,"suffix":""}],"container-title":"Nature Reviews Genetics","id":"ITEM-1","issue":"8","issued":{"date-parts":[["2017"]]},"page":"473-484","title":"Reference standards for next-generation sequencing","type":"article-journal","volume":"18"},"uris":["http://www.mendeley.com/documents/?uuid=989baf94-7ad6-4f56-ac12-2bbd783c45c7"]}],"mendeley":{"formattedCitation":"(Hardwick, Deveson, &amp; Mercer, 2017)","plainTextFormattedCitation":"(Hardwick, Deveson, &amp; Mercer, 2017)","previouslyFormattedCitation":"(Hardwick, Deveson, &amp; Mercer, 2017)"},"properties":{"noteIndex":0},"schema":"https://github.com/citation-style-language/schema/raw/master/csl-citation.json"}</w:instrText>
      </w:r>
      <w:r w:rsidRPr="00087CEE">
        <w:rPr>
          <w:rFonts w:cs="Times New Roman"/>
        </w:rPr>
        <w:fldChar w:fldCharType="separate"/>
      </w:r>
      <w:r w:rsidRPr="00087CEE">
        <w:rPr>
          <w:rFonts w:cs="Times New Roman"/>
          <w:noProof/>
        </w:rPr>
        <w:t>(Hardwick, Deveson, &amp; Mercer, 2017)</w:t>
      </w:r>
      <w:r w:rsidRPr="00087CEE">
        <w:rPr>
          <w:rFonts w:cs="Times New Roman"/>
        </w:rPr>
        <w:fldChar w:fldCharType="end"/>
      </w:r>
      <w:r w:rsidRPr="00087CEE">
        <w:rPr>
          <w:rFonts w:cs="Times New Roman"/>
        </w:rPr>
        <w:t xml:space="preserve">. These positive controls can then be used to detect index switching and parameterise bioinformatics pipelines </w:t>
      </w:r>
      <w:r w:rsidRPr="00087CEE">
        <w:rPr>
          <w:rFonts w:cs="Times New Roman"/>
        </w:rPr>
        <w:fldChar w:fldCharType="begin" w:fldLock="1"/>
      </w:r>
      <w:r w:rsidRPr="00087CEE">
        <w:rPr>
          <w:rFonts w:cs="Times New Roman"/>
        </w:rPr>
        <w:instrText>ADDIN CSL_CITATION {"citationItems":[{"id":"ITEM-1","itemData":{"DOI":"10.1101/213470","ISSN":"2167-8359","abstract":"High throughput amplicon sequencing (HTAS) of conserved DNA regions is a powerful technique to characterize biological communities from environmental samples. Recently, spike-in mock communities have been used to measure accuracy of sequencing platforms and data analysis pipelines. The fungal internal transcribed spacer (ITS) region is difficult to sequence due to its variability (length and sequence divergence) across the fungal kingdom. To assess the ability of sequencing platforms and data processing pipelines using fungal ITS amplicons, we created two ITS spike-in control mock communities composed of single copy plasmid DNA: a biological mock community (BioMock), consisting of cloned ITS sequences, and a synthetic mock community (SynMock), consisting of non-biological ITS-like sequences. Using these spike-in controls we show that pre-clustering steps for variable length amplicons are critically important and a major source of bias is attributed to initial PCR reactions. These data suggest HTAS read abundances are not representative of starting values. We developed AMPtk (amplicon toolkit), a versatile software solution equipped to deal with variable length amplicons featuring a method to quality filter HTAS data based on spike-in controls. While we describe herein a non-biological (synthetic) mock community for ITS sequences, the concept can be widely applied to any HTAS dataset.","author":[{"dropping-particle":"","family":"Palmer","given":"Jonathan M","non-dropping-particle":"","parse-names":false,"suffix":""},{"dropping-particle":"","family":"Jusino","given":"Michelle A","non-dropping-particle":"","parse-names":false,"suffix":""},{"dropping-particle":"","family":"Banik","given":"Mark T","non-dropping-particle":"","parse-names":false,"suffix":""},{"dropping-particle":"","family":"Lindner","given":"Daniel L","non-dropping-particle":"","parse-names":false,"suffix":""}],"container-title":"PeerJ","id":"ITEM-1","issued":{"date-parts":[["2017"]]},"page":"213470","title":"Non-biological synthetic spike-in controls and the AMPtk software pipeline improve fungal high throughput amplicon sequencing data","type":"article-journal"},"uris":["http://www.mendeley.com/documents/?uuid=dbdee4b1-f5c8-4735-bf49-33693afd2a08"]}],"mendeley":{"formattedCitation":"(Palmer, Jusino, Banik, &amp; Lindner, 2017)","plainTextFormattedCitation":"(Palmer, Jusino, Banik, &amp; Lindner, 2017)","previouslyFormattedCitation":"(Palmer, Jusino, Banik, &amp; Lindner, 2017)"},"properties":{"noteIndex":0},"schema":"https://github.com/citation-style-language/schema/raw/master/csl-citation.json"}</w:instrText>
      </w:r>
      <w:r w:rsidRPr="00087CEE">
        <w:rPr>
          <w:rFonts w:cs="Times New Roman"/>
        </w:rPr>
        <w:fldChar w:fldCharType="separate"/>
      </w:r>
      <w:r w:rsidRPr="00087CEE">
        <w:rPr>
          <w:rFonts w:cs="Times New Roman"/>
          <w:noProof/>
        </w:rPr>
        <w:t>(Palmer, Jusino, Banik, &amp; Lindner, 2017)</w:t>
      </w:r>
      <w:r w:rsidRPr="00087CEE">
        <w:rPr>
          <w:rFonts w:cs="Times New Roman"/>
        </w:rPr>
        <w:fldChar w:fldCharType="end"/>
      </w:r>
      <w:r w:rsidRPr="00087CEE">
        <w:rPr>
          <w:rFonts w:cs="Times New Roman"/>
        </w:rPr>
        <w:t>. Finally, w</w:t>
      </w:r>
      <w:r w:rsidRPr="00087CEE">
        <w:t xml:space="preserve">e demonstrate how DNA metabarcoding can overcome the processing bottleneck for large scale biosecurity surveillance, providing the ability to identify hundreds of thousands of insects weekly. In addition to providing a high-throughput detection method for exotic drosophila, by-catch data from our metabarcoding assay sheds light on the composition of native drosophila communities in Australian orchard environments. We recommend that our metabarcoding assay be immediately incorporated into national diagnostic protocols to allow efficient and effective large-scale surveillance for new introductions of </w:t>
      </w:r>
      <w:r w:rsidRPr="00087CEE">
        <w:rPr>
          <w:i/>
        </w:rPr>
        <w:t xml:space="preserve">D. </w:t>
      </w:r>
      <w:proofErr w:type="spellStart"/>
      <w:r w:rsidRPr="00087CEE">
        <w:rPr>
          <w:i/>
        </w:rPr>
        <w:t>suzukii</w:t>
      </w:r>
      <w:proofErr w:type="spellEnd"/>
      <w:r w:rsidRPr="00087CEE">
        <w:rPr>
          <w:i/>
        </w:rPr>
        <w:t>.</w:t>
      </w:r>
      <w:bookmarkStart w:id="3" w:name="_Hlk449624"/>
    </w:p>
    <w:bookmarkEnd w:id="3"/>
    <w:p w14:paraId="16F42C30" w14:textId="64EF5087" w:rsidR="003F55FB" w:rsidRPr="00356EA1" w:rsidRDefault="003F55FB" w:rsidP="00356EA1">
      <w:pPr>
        <w:pStyle w:val="Heading1"/>
      </w:pPr>
      <w:r w:rsidRPr="00356EA1">
        <w:t>Methods</w:t>
      </w:r>
    </w:p>
    <w:p w14:paraId="57493F2A" w14:textId="383807CE" w:rsidR="005B16C7" w:rsidRDefault="005B16C7" w:rsidP="00356EA1">
      <w:pPr>
        <w:pStyle w:val="Heading2"/>
        <w:rPr>
          <w:lang w:eastAsia="en-AU"/>
        </w:rPr>
      </w:pPr>
      <w:r>
        <w:rPr>
          <w:lang w:eastAsia="en-AU"/>
        </w:rPr>
        <w:t>Selection of primers</w:t>
      </w:r>
    </w:p>
    <w:p w14:paraId="6DEB5F5B" w14:textId="6FBED603" w:rsidR="005B16C7" w:rsidRDefault="005B16C7" w:rsidP="00356EA1">
      <w:pPr>
        <w:rPr>
          <w:i/>
          <w:lang w:eastAsia="en-AU"/>
        </w:rPr>
      </w:pPr>
      <w:r>
        <w:rPr>
          <w:lang w:eastAsia="en-AU"/>
        </w:rPr>
        <w:t xml:space="preserve">Piper et al has previously identified a range of primers that should perform well on insect pests. </w:t>
      </w:r>
      <w:r w:rsidRPr="00087CEE">
        <w:rPr>
          <w:lang w:eastAsia="en-AU"/>
        </w:rPr>
        <w:t xml:space="preserve">While </w:t>
      </w:r>
      <w:r>
        <w:rPr>
          <w:lang w:eastAsia="en-AU"/>
        </w:rPr>
        <w:t xml:space="preserve">this </w:t>
      </w:r>
      <w:r w:rsidRPr="00087CEE">
        <w:rPr>
          <w:lang w:eastAsia="en-AU"/>
        </w:rPr>
        <w:t xml:space="preserve">in-silico evaluation can greatly reduce the scope of potential primers for evaluation, in-silico methods do not consider factors such as dimer production, off target amplification, and template secondary structure which can render primers that seem suitable in-silico unsuitable for field application </w:t>
      </w:r>
      <w:r w:rsidRPr="00087CEE">
        <w:rPr>
          <w:lang w:eastAsia="en-AU"/>
        </w:rPr>
        <w:fldChar w:fldCharType="begin" w:fldLock="1"/>
      </w:r>
      <w:r w:rsidR="00C23635">
        <w:rPr>
          <w:lang w:eastAsia="en-AU"/>
        </w:rPr>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Bioassessment","type":"article-journal","volume":"5"},"uris":["http://www.mendeley.com/documents/?uuid=f4d80375-d8d1-414d-a2fd-fd05057a5a39"]}],"mendeley":{"formattedCitation":"(Elbrecht &amp; Leese, 2017)","plainTextFormattedCitation":"(Elbrecht &amp; Leese, 2017)","previouslyFormattedCitation":"(Elbrecht &amp; Leese, 2017)"},"properties":{"noteIndex":0},"schema":"https://github.com/citation-style-language/schema/raw/master/csl-citation.json"}</w:instrText>
      </w:r>
      <w:r w:rsidRPr="00087CEE">
        <w:rPr>
          <w:lang w:eastAsia="en-AU"/>
        </w:rPr>
        <w:fldChar w:fldCharType="separate"/>
      </w:r>
      <w:r w:rsidR="00447F6F" w:rsidRPr="00447F6F">
        <w:rPr>
          <w:noProof/>
          <w:lang w:eastAsia="en-AU"/>
        </w:rPr>
        <w:t>(Elbrecht &amp; Leese, 2017)</w:t>
      </w:r>
      <w:r w:rsidRPr="00087CEE">
        <w:rPr>
          <w:lang w:eastAsia="en-AU"/>
        </w:rPr>
        <w:fldChar w:fldCharType="end"/>
      </w:r>
      <w:r w:rsidRPr="00087CEE">
        <w:rPr>
          <w:lang w:eastAsia="en-AU"/>
        </w:rPr>
        <w:t>.</w:t>
      </w:r>
      <w:r>
        <w:rPr>
          <w:lang w:eastAsia="en-AU"/>
        </w:rPr>
        <w:t xml:space="preserve"> Therefore 4 primer sets, </w:t>
      </w:r>
    </w:p>
    <w:p w14:paraId="2EF6FB66" w14:textId="55458205" w:rsidR="007D0B48" w:rsidRPr="00087CEE" w:rsidRDefault="007D0B48" w:rsidP="00356EA1">
      <w:pPr>
        <w:pStyle w:val="Heading2"/>
        <w:rPr>
          <w:lang w:eastAsia="en-AU"/>
        </w:rPr>
      </w:pPr>
      <w:r w:rsidRPr="00087CEE">
        <w:rPr>
          <w:lang w:eastAsia="en-AU"/>
        </w:rPr>
        <w:lastRenderedPageBreak/>
        <w:t xml:space="preserve">Evaluation </w:t>
      </w:r>
      <w:r w:rsidR="002971B5">
        <w:rPr>
          <w:lang w:eastAsia="en-AU"/>
        </w:rPr>
        <w:t>on mock</w:t>
      </w:r>
      <w:r w:rsidRPr="00087CEE">
        <w:rPr>
          <w:lang w:eastAsia="en-AU"/>
        </w:rPr>
        <w:t xml:space="preserve"> communities</w:t>
      </w:r>
    </w:p>
    <w:p w14:paraId="52D32EDC" w14:textId="17011B58" w:rsidR="001E6DF2" w:rsidRPr="00087CEE" w:rsidRDefault="001E6DF2" w:rsidP="00356EA1">
      <w:pPr>
        <w:rPr>
          <w:lang w:eastAsia="en-AU"/>
        </w:rPr>
      </w:pPr>
      <w:r w:rsidRPr="00087CEE">
        <w:rPr>
          <w:lang w:eastAsia="en-AU"/>
        </w:rPr>
        <w:t>To create mock communities</w:t>
      </w:r>
      <w:r w:rsidR="005B16C7">
        <w:rPr>
          <w:lang w:eastAsia="en-AU"/>
        </w:rPr>
        <w:t xml:space="preserve"> of known composition for primer validation</w:t>
      </w:r>
      <w:r w:rsidRPr="00087CEE">
        <w:rPr>
          <w:lang w:eastAsia="en-AU"/>
        </w:rPr>
        <w:t xml:space="preserve">, colonies of </w:t>
      </w:r>
      <w:r w:rsidRPr="00087CEE">
        <w:rPr>
          <w:i/>
          <w:lang w:eastAsia="en-AU"/>
        </w:rPr>
        <w:t>D. melanogaster</w:t>
      </w:r>
      <w:r w:rsidRPr="00087CEE">
        <w:rPr>
          <w:lang w:eastAsia="en-AU"/>
        </w:rPr>
        <w:t xml:space="preserve">, </w:t>
      </w:r>
      <w:r w:rsidRPr="00087CEE">
        <w:rPr>
          <w:i/>
          <w:lang w:eastAsia="en-AU"/>
        </w:rPr>
        <w:t xml:space="preserve">D. </w:t>
      </w:r>
      <w:proofErr w:type="spellStart"/>
      <w:r w:rsidRPr="00087CEE">
        <w:rPr>
          <w:i/>
          <w:lang w:eastAsia="en-AU"/>
        </w:rPr>
        <w:t>simulans</w:t>
      </w:r>
      <w:proofErr w:type="spellEnd"/>
      <w:r w:rsidRPr="00087CEE">
        <w:rPr>
          <w:lang w:eastAsia="en-AU"/>
        </w:rPr>
        <w:t xml:space="preserve">, </w:t>
      </w:r>
      <w:r w:rsidRPr="00087CEE">
        <w:rPr>
          <w:i/>
          <w:lang w:eastAsia="en-AU"/>
        </w:rPr>
        <w:t xml:space="preserve">D. </w:t>
      </w:r>
      <w:proofErr w:type="spellStart"/>
      <w:r w:rsidRPr="00087CEE">
        <w:rPr>
          <w:i/>
          <w:lang w:eastAsia="en-AU"/>
        </w:rPr>
        <w:t>hydei</w:t>
      </w:r>
      <w:proofErr w:type="spellEnd"/>
      <w:r w:rsidRPr="00087CEE">
        <w:rPr>
          <w:lang w:eastAsia="en-AU"/>
        </w:rPr>
        <w:t xml:space="preserve"> and </w:t>
      </w:r>
      <w:proofErr w:type="spellStart"/>
      <w:r w:rsidRPr="00087CEE">
        <w:rPr>
          <w:lang w:eastAsia="en-AU"/>
        </w:rPr>
        <w:t>S</w:t>
      </w:r>
      <w:r w:rsidRPr="00087CEE">
        <w:rPr>
          <w:i/>
          <w:lang w:eastAsia="en-AU"/>
        </w:rPr>
        <w:t>captodrosophila</w:t>
      </w:r>
      <w:proofErr w:type="spellEnd"/>
      <w:r w:rsidRPr="00087CEE">
        <w:rPr>
          <w:i/>
          <w:lang w:eastAsia="en-AU"/>
        </w:rPr>
        <w:t xml:space="preserve"> </w:t>
      </w:r>
      <w:proofErr w:type="spellStart"/>
      <w:r w:rsidRPr="00087CEE">
        <w:rPr>
          <w:i/>
          <w:lang w:eastAsia="en-AU"/>
        </w:rPr>
        <w:t>lattivitata</w:t>
      </w:r>
      <w:proofErr w:type="spellEnd"/>
      <w:r w:rsidRPr="00087CEE">
        <w:rPr>
          <w:lang w:eastAsia="en-AU"/>
        </w:rPr>
        <w:t xml:space="preserve"> were started from individual female drosophila caught in banana baited traps </w:t>
      </w:r>
      <w:r w:rsidRPr="00087CEE">
        <w:rPr>
          <w:lang w:eastAsia="en-AU"/>
        </w:rPr>
        <w:fldChar w:fldCharType="begin" w:fldLock="1"/>
      </w:r>
      <w:r w:rsidRPr="00087CEE">
        <w:rPr>
          <w:lang w:eastAsia="en-AU"/>
        </w:rPr>
        <w:instrText>ADDIN CSL_CITATION {"citationItems":[{"id":"ITEM-1","itemData":{"DOI":"10.7717/peerj.3063","ISSN":"2167-8359","abstract":"Background. Yeasts are a necessary requisite in the diet of most Drosophila species that, in turn, may vector their dispersal in natural environments. Differential attractiveness experiments and the isolation of yeasts consumed by Drosophila may be informative for characterizing this association. Hanseniaspora uvarum is among the most common yeast species isolated from Drosophila crops, with high attractiveness to drosophilids. Saccharomyces cerevisiae has been widely used to collect flies, and it allows broad sampling of almost all local Drosophila species. Pronounced differences in the field concerning Drosophila attractivity to baits seeded with these yeast species have been previously reported. However, few explicit generalizations have been set. Since late fifties, no field experiments of Drosophila attractivity were carried out in the Neotropical region, which is facing shifts in abiotic and biotic factors. Our objective is to characterize preference behavior that mediates the interaction in the wild among Neotropical Drosophila species and yeasts associated with them. We want to set a broad generalization about drosophilids attracted to these yeasts. Here we present the results of a differential attractiveness experiment we carried out in a natural Atlantic Rainforest fragment to assess the preferences of Drosophila species groups to baits inoculated with H. uvarum and S. cerevisiae. Methods. Both yeast species were cultured in GYMP broth and separately poured in autoclaved mashed banana that was left fermenting. In the field, we collected drosophilids over five arrays of three different baits: non-inoculated autoclaved banana and banana inoculated with each yeast. In the laboratory the drosophilids were sorted to five sets according to their external morphology and/or genitalia: tripunctata; guarani; willistoni; exotic; and the remaining flies pooled in others. Results and Conclusions. Uninoculated banana baits attracted virtually no flies. We found significant departures from random distribution over the other two baits (1:1 proportion) for all sets, except the pooled others. Flies of the sets willistoni and exotic preferred H. uvarum over S. cerevisiae, while the remaining sets were more attracted to S. cerevisiae. Previously, various authors reported similar patterns in attraction experiments with S. cerevisiae and H. uvarum. It is also noteworthy that both yeast species have been isolated from natural substrates and crops of Drosophila speci…","author":[{"dropping-particle":"","family":"Batista","given":"Marcos R.D.","non-dropping-particle":"","parse-names":false,"suffix":""},{"dropping-particle":"","family":"Uno","given":"Fabiana","non-dropping-particle":"","parse-names":false,"suffix":""},{"dropping-particle":"","family":"Chaves","given":"Rafael D.","non-dropping-particle":"","parse-names":false,"suffix":""},{"dropping-particle":"","family":"Tidon","given":"Rosana","non-dropping-particle":"","parse-names":false,"suffix":""},{"dropping-particle":"","family":"Rosa","given":"Carlos A.","non-dropping-particle":"","parse-names":false,"suffix":""},{"dropping-particle":"","family":"Klaczko","given":"Louis B.","non-dropping-particle":"","parse-names":false,"suffix":""}],"container-title":"PeerJ","id":"ITEM-1","issue":"March","issued":{"date-parts":[["2017"]]},"page":"e3063","title":"Differential attraction of drosophilids to banana baits inoculated with &lt;i&gt;Saccharomyces cerevisiae&lt;/i&gt; and &lt;i&gt;Hanseniaspora uvarum&lt;/i&gt; within a Neotropical forest remnant","type":"article-journal","volume":"5"},"uris":["http://www.mendeley.com/documents/?uuid=2d13c34e-6a70-4aaa-acdb-1be46b162782"]}],"mendeley":{"formattedCitation":"(Batista et al., 2017)","plainTextFormattedCitation":"(Batista et al., 2017)","previouslyFormattedCitation":"(Batista et al., 2017)"},"properties":{"noteIndex":0},"schema":"https://github.com/citation-style-language/schema/raw/master/csl-citation.json"}</w:instrText>
      </w:r>
      <w:r w:rsidRPr="00087CEE">
        <w:rPr>
          <w:lang w:eastAsia="en-AU"/>
        </w:rPr>
        <w:fldChar w:fldCharType="separate"/>
      </w:r>
      <w:r w:rsidRPr="00087CEE">
        <w:rPr>
          <w:noProof/>
          <w:lang w:eastAsia="en-AU"/>
        </w:rPr>
        <w:t>(Batista et al., 2017)</w:t>
      </w:r>
      <w:r w:rsidRPr="00087CEE">
        <w:rPr>
          <w:lang w:eastAsia="en-AU"/>
        </w:rPr>
        <w:fldChar w:fldCharType="end"/>
      </w:r>
      <w:r w:rsidRPr="00087CEE">
        <w:rPr>
          <w:lang w:eastAsia="en-AU"/>
        </w:rPr>
        <w:t xml:space="preserve"> around Victoria, Australia (See supplementary for rearing details). </w:t>
      </w:r>
      <w:r w:rsidR="00F025E6" w:rsidRPr="00087CEE">
        <w:rPr>
          <w:lang w:eastAsia="en-AU"/>
        </w:rPr>
        <w:t xml:space="preserve"> </w:t>
      </w:r>
      <w:r w:rsidR="004C1E3D" w:rsidRPr="00087CEE">
        <w:rPr>
          <w:lang w:eastAsia="en-AU"/>
        </w:rPr>
        <w:t xml:space="preserve">Further Ethanol preserved specimens of </w:t>
      </w:r>
      <w:r w:rsidR="004C1E3D" w:rsidRPr="00087CEE">
        <w:rPr>
          <w:i/>
          <w:lang w:eastAsia="en-AU"/>
        </w:rPr>
        <w:t xml:space="preserve">D. </w:t>
      </w:r>
      <w:proofErr w:type="spellStart"/>
      <w:r w:rsidR="004C1E3D" w:rsidRPr="00087CEE">
        <w:rPr>
          <w:i/>
          <w:lang w:eastAsia="en-AU"/>
        </w:rPr>
        <w:t>suzukii</w:t>
      </w:r>
      <w:proofErr w:type="spellEnd"/>
      <w:r w:rsidR="004C1E3D" w:rsidRPr="00087CEE">
        <w:rPr>
          <w:i/>
          <w:lang w:eastAsia="en-AU"/>
        </w:rPr>
        <w:t xml:space="preserve">, D. </w:t>
      </w:r>
      <w:proofErr w:type="spellStart"/>
      <w:proofErr w:type="gramStart"/>
      <w:r w:rsidR="004C1E3D" w:rsidRPr="00087CEE">
        <w:rPr>
          <w:i/>
          <w:lang w:eastAsia="en-AU"/>
        </w:rPr>
        <w:t>Immigrans</w:t>
      </w:r>
      <w:proofErr w:type="spellEnd"/>
      <w:r w:rsidR="004C1E3D" w:rsidRPr="00087CEE">
        <w:rPr>
          <w:i/>
          <w:lang w:eastAsia="en-AU"/>
        </w:rPr>
        <w:t xml:space="preserve"> ,</w:t>
      </w:r>
      <w:proofErr w:type="gramEnd"/>
      <w:r w:rsidR="004C1E3D" w:rsidRPr="00087CEE">
        <w:rPr>
          <w:i/>
          <w:lang w:eastAsia="en-AU"/>
        </w:rPr>
        <w:t xml:space="preserve"> D. serrata, D. </w:t>
      </w:r>
      <w:proofErr w:type="spellStart"/>
      <w:r w:rsidR="004C1E3D" w:rsidRPr="00087CEE">
        <w:rPr>
          <w:i/>
          <w:lang w:eastAsia="en-AU"/>
        </w:rPr>
        <w:t>busckii</w:t>
      </w:r>
      <w:proofErr w:type="spellEnd"/>
      <w:r w:rsidR="004C1E3D" w:rsidRPr="00087CEE">
        <w:rPr>
          <w:i/>
          <w:lang w:eastAsia="en-AU"/>
        </w:rPr>
        <w:t xml:space="preserve"> D. </w:t>
      </w:r>
      <w:proofErr w:type="spellStart"/>
      <w:r w:rsidR="004C1E3D" w:rsidRPr="00087CEE">
        <w:rPr>
          <w:i/>
          <w:lang w:eastAsia="en-AU"/>
        </w:rPr>
        <w:t>subpulchrella</w:t>
      </w:r>
      <w:proofErr w:type="spellEnd"/>
      <w:r w:rsidR="004C1E3D" w:rsidRPr="00087CEE">
        <w:rPr>
          <w:i/>
          <w:lang w:eastAsia="en-AU"/>
        </w:rPr>
        <w:t xml:space="preserve"> </w:t>
      </w:r>
      <w:r w:rsidR="004C1E3D" w:rsidRPr="00087CEE">
        <w:rPr>
          <w:lang w:eastAsia="en-AU"/>
        </w:rPr>
        <w:t>and</w:t>
      </w:r>
      <w:r w:rsidR="004C1E3D" w:rsidRPr="00087CEE">
        <w:rPr>
          <w:i/>
          <w:lang w:eastAsia="en-AU"/>
        </w:rPr>
        <w:t xml:space="preserve"> D. </w:t>
      </w:r>
      <w:proofErr w:type="spellStart"/>
      <w:r w:rsidR="004C1E3D" w:rsidRPr="00087CEE">
        <w:rPr>
          <w:i/>
          <w:lang w:eastAsia="en-AU"/>
        </w:rPr>
        <w:t>biarmipes</w:t>
      </w:r>
      <w:proofErr w:type="spellEnd"/>
      <w:r w:rsidR="004C1E3D" w:rsidRPr="00087CEE">
        <w:rPr>
          <w:lang w:eastAsia="en-AU"/>
        </w:rPr>
        <w:t xml:space="preserve"> were obtained from Cornell Drosophila Stock Centre, USA, Ehime University Drosophila Species Stock Centre, Japan and </w:t>
      </w:r>
      <w:r w:rsidR="005C2168" w:rsidRPr="00087CEE">
        <w:rPr>
          <w:lang w:eastAsia="en-AU"/>
        </w:rPr>
        <w:t>the National Institute of Agricultural Botany</w:t>
      </w:r>
      <w:r w:rsidR="004C1E3D" w:rsidRPr="00087CEE">
        <w:rPr>
          <w:lang w:eastAsia="en-AU"/>
        </w:rPr>
        <w:t xml:space="preserve">, UK. </w:t>
      </w:r>
    </w:p>
    <w:p w14:paraId="458479E5" w14:textId="664A7E11" w:rsidR="00234E9D" w:rsidRPr="00087CEE" w:rsidRDefault="004C1E3D" w:rsidP="00356EA1">
      <w:pPr>
        <w:rPr>
          <w:lang w:eastAsia="en-AU"/>
        </w:rPr>
      </w:pPr>
      <w:r w:rsidRPr="00087CEE">
        <w:rPr>
          <w:lang w:eastAsia="en-AU"/>
        </w:rPr>
        <w:t xml:space="preserve">Various numbers of the </w:t>
      </w:r>
      <w:r w:rsidR="003212B5" w:rsidRPr="00087CEE">
        <w:rPr>
          <w:lang w:eastAsia="en-AU"/>
        </w:rPr>
        <w:t xml:space="preserve">individuals from the </w:t>
      </w:r>
      <w:r w:rsidRPr="00087CEE">
        <w:rPr>
          <w:lang w:eastAsia="en-AU"/>
        </w:rPr>
        <w:t>above species were combined to form the mock communities</w:t>
      </w:r>
      <w:r w:rsidR="003212B5" w:rsidRPr="00087CEE">
        <w:rPr>
          <w:lang w:eastAsia="en-AU"/>
        </w:rPr>
        <w:t xml:space="preserve"> (Table 2)</w:t>
      </w:r>
      <w:r w:rsidR="007D0B48" w:rsidRPr="00087CEE">
        <w:rPr>
          <w:lang w:eastAsia="en-AU"/>
        </w:rPr>
        <w:t xml:space="preserve">, from which </w:t>
      </w:r>
      <w:r w:rsidR="0011741B" w:rsidRPr="00087CEE">
        <w:rPr>
          <w:lang w:eastAsia="en-AU"/>
        </w:rPr>
        <w:t xml:space="preserve">DNA was extracted using a modified non-destructive version of the Qiagen </w:t>
      </w:r>
      <w:proofErr w:type="spellStart"/>
      <w:r w:rsidR="0011741B" w:rsidRPr="00087CEE">
        <w:rPr>
          <w:lang w:eastAsia="en-AU"/>
        </w:rPr>
        <w:t>DNeasy</w:t>
      </w:r>
      <w:proofErr w:type="spellEnd"/>
      <w:r w:rsidR="0011741B" w:rsidRPr="00087CEE">
        <w:rPr>
          <w:lang w:eastAsia="en-AU"/>
        </w:rPr>
        <w:t xml:space="preserve"> kit. In short communities dried of all ethanol overnight in 15mL falcon tubes, then immersed in lysate buffer and proteinase K, with the volume of buffer used increasing proportionally to the size of the insect community ensuring at least 1mL of buffer was above the communities. The </w:t>
      </w:r>
      <w:r w:rsidR="00234E9D" w:rsidRPr="00087CEE">
        <w:rPr>
          <w:lang w:eastAsia="en-AU"/>
        </w:rPr>
        <w:t xml:space="preserve">falcon tubes containing insect communities and lysate buffer were then placed in a shaking incubator and incubated at 56c and 220rpm for 24 hours. Lysate was then manually loaded onto 96 well Qiagen </w:t>
      </w:r>
      <w:proofErr w:type="spellStart"/>
      <w:r w:rsidR="00234E9D" w:rsidRPr="00087CEE">
        <w:rPr>
          <w:lang w:eastAsia="en-AU"/>
        </w:rPr>
        <w:t>DNeasy</w:t>
      </w:r>
      <w:proofErr w:type="spellEnd"/>
      <w:r w:rsidR="00234E9D" w:rsidRPr="00087CEE">
        <w:rPr>
          <w:lang w:eastAsia="en-AU"/>
        </w:rPr>
        <w:t xml:space="preserve"> extraction blocks</w:t>
      </w:r>
      <w:r w:rsidR="003212B5" w:rsidRPr="00087CEE">
        <w:rPr>
          <w:lang w:eastAsia="en-AU"/>
        </w:rPr>
        <w:t xml:space="preserve"> using a multichannel pipette</w:t>
      </w:r>
      <w:r w:rsidR="00234E9D" w:rsidRPr="00087CEE">
        <w:rPr>
          <w:lang w:eastAsia="en-AU"/>
        </w:rPr>
        <w:t>, and the remainder of the</w:t>
      </w:r>
      <w:r w:rsidR="003212B5" w:rsidRPr="00087CEE">
        <w:rPr>
          <w:lang w:eastAsia="en-AU"/>
        </w:rPr>
        <w:t xml:space="preserve"> kit</w:t>
      </w:r>
      <w:r w:rsidR="00234E9D" w:rsidRPr="00087CEE">
        <w:rPr>
          <w:lang w:eastAsia="en-AU"/>
        </w:rPr>
        <w:t xml:space="preserve"> protocol was followed within the </w:t>
      </w:r>
      <w:proofErr w:type="spellStart"/>
      <w:r w:rsidR="00234E9D" w:rsidRPr="00087CEE">
        <w:rPr>
          <w:lang w:eastAsia="en-AU"/>
        </w:rPr>
        <w:t>QiaCube</w:t>
      </w:r>
      <w:proofErr w:type="spellEnd"/>
      <w:r w:rsidR="00234E9D" w:rsidRPr="00087CEE">
        <w:rPr>
          <w:lang w:eastAsia="en-AU"/>
        </w:rPr>
        <w:t xml:space="preserve"> automated DNA purification workstation.</w:t>
      </w:r>
    </w:p>
    <w:p w14:paraId="075D25A8" w14:textId="48515083" w:rsidR="007D0B48" w:rsidRDefault="00234E9D" w:rsidP="00356EA1">
      <w:pPr>
        <w:rPr>
          <w:rFonts w:cs="Arial"/>
          <w:color w:val="000000"/>
        </w:rPr>
      </w:pPr>
      <w:r w:rsidRPr="00087CEE">
        <w:rPr>
          <w:lang w:eastAsia="en-AU"/>
        </w:rPr>
        <w:t xml:space="preserve">Following DNA extraction, </w:t>
      </w:r>
      <w:r w:rsidR="007D0B48" w:rsidRPr="00087CEE">
        <w:rPr>
          <w:lang w:eastAsia="en-AU"/>
        </w:rPr>
        <w:t>the COI locus was amplified</w:t>
      </w:r>
      <w:r w:rsidRPr="00087CEE">
        <w:rPr>
          <w:lang w:eastAsia="en-AU"/>
        </w:rPr>
        <w:t xml:space="preserve"> from each </w:t>
      </w:r>
      <w:r w:rsidR="003212B5" w:rsidRPr="00087CEE">
        <w:rPr>
          <w:lang w:eastAsia="en-AU"/>
        </w:rPr>
        <w:t>community</w:t>
      </w:r>
      <w:r w:rsidR="007D0B48" w:rsidRPr="00087CEE">
        <w:rPr>
          <w:lang w:eastAsia="en-AU"/>
        </w:rPr>
        <w:t xml:space="preserve"> using the </w:t>
      </w:r>
      <w:r w:rsidRPr="00087CEE">
        <w:rPr>
          <w:lang w:eastAsia="en-AU"/>
        </w:rPr>
        <w:t xml:space="preserve">4 </w:t>
      </w:r>
      <w:r w:rsidR="007D0B48" w:rsidRPr="00087CEE">
        <w:rPr>
          <w:lang w:eastAsia="en-AU"/>
        </w:rPr>
        <w:t>candidate primer set</w:t>
      </w:r>
      <w:r w:rsidRPr="00087CEE">
        <w:rPr>
          <w:lang w:eastAsia="en-AU"/>
        </w:rPr>
        <w:t xml:space="preserve">s </w:t>
      </w:r>
      <w:r w:rsidR="003212B5" w:rsidRPr="00087CEE">
        <w:rPr>
          <w:lang w:eastAsia="en-AU"/>
        </w:rPr>
        <w:t>shortlisted</w:t>
      </w:r>
      <w:r w:rsidRPr="00087CEE">
        <w:rPr>
          <w:lang w:eastAsia="en-AU"/>
        </w:rPr>
        <w:t xml:space="preserve"> from in-silico evaluation</w:t>
      </w:r>
      <w:r w:rsidR="004E2B4F" w:rsidRPr="00087CEE">
        <w:rPr>
          <w:lang w:eastAsia="en-AU"/>
        </w:rPr>
        <w:t xml:space="preserve"> (see supplementary information for reaction information</w:t>
      </w:r>
      <w:proofErr w:type="gramStart"/>
      <w:r w:rsidR="004E2B4F" w:rsidRPr="00087CEE">
        <w:rPr>
          <w:lang w:eastAsia="en-AU"/>
        </w:rPr>
        <w:t xml:space="preserve">) </w:t>
      </w:r>
      <w:r w:rsidR="007D0B48" w:rsidRPr="00087CEE">
        <w:rPr>
          <w:lang w:eastAsia="en-AU"/>
        </w:rPr>
        <w:t>.</w:t>
      </w:r>
      <w:proofErr w:type="gramEnd"/>
      <w:r w:rsidR="007D0B48" w:rsidRPr="00087CEE">
        <w:rPr>
          <w:lang w:eastAsia="en-AU"/>
        </w:rPr>
        <w:t xml:space="preserve"> </w:t>
      </w:r>
      <w:r w:rsidR="007D0B48" w:rsidRPr="00087CEE">
        <w:rPr>
          <w:rFonts w:cs="Arial"/>
          <w:color w:val="000000"/>
        </w:rPr>
        <w:t>The amplicons were verified on a 2</w:t>
      </w:r>
      <w:r w:rsidR="007D0B48" w:rsidRPr="00087CEE">
        <w:rPr>
          <w:rStyle w:val="current-selection"/>
        </w:rPr>
        <w:t xml:space="preserve">% w/v agarose gel, </w:t>
      </w:r>
      <w:commentRangeStart w:id="4"/>
      <w:r w:rsidR="007D0B48" w:rsidRPr="00087CEE">
        <w:rPr>
          <w:rStyle w:val="current-selection"/>
        </w:rPr>
        <w:t>then diluted 1:10, with 1uL of the diluted amplicon used for indexing PCR.</w:t>
      </w:r>
      <w:r w:rsidR="007D0B48" w:rsidRPr="00087CEE">
        <w:rPr>
          <w:rFonts w:cs="Arial"/>
          <w:color w:val="000000"/>
        </w:rPr>
        <w:t xml:space="preserve"> 7 </w:t>
      </w:r>
      <w:r w:rsidR="007D0B48" w:rsidRPr="00087CEE">
        <w:rPr>
          <w:rFonts w:cs="Arial"/>
          <w:color w:val="000000"/>
        </w:rPr>
        <w:lastRenderedPageBreak/>
        <w:t xml:space="preserve">cycles of Real-time PCR </w:t>
      </w:r>
      <w:proofErr w:type="gramStart"/>
      <w:r w:rsidR="007D0B48" w:rsidRPr="00087CEE">
        <w:rPr>
          <w:rFonts w:cs="Arial"/>
          <w:color w:val="000000"/>
        </w:rPr>
        <w:t>was</w:t>
      </w:r>
      <w:proofErr w:type="gramEnd"/>
      <w:r w:rsidR="007D0B48" w:rsidRPr="00087CEE">
        <w:rPr>
          <w:rFonts w:cs="Arial"/>
          <w:color w:val="000000"/>
        </w:rPr>
        <w:t xml:space="preserve"> </w:t>
      </w:r>
      <w:commentRangeEnd w:id="4"/>
      <w:r w:rsidR="009C07D8" w:rsidRPr="00087CEE">
        <w:rPr>
          <w:rStyle w:val="CommentReference"/>
          <w:sz w:val="22"/>
          <w:szCs w:val="22"/>
        </w:rPr>
        <w:commentReference w:id="4"/>
      </w:r>
      <w:r w:rsidR="007D0B48" w:rsidRPr="00087CEE">
        <w:rPr>
          <w:rFonts w:cs="Arial"/>
          <w:color w:val="000000"/>
        </w:rPr>
        <w:t xml:space="preserve">used to attached 8bp unique dual indexes and sequencing adapters to each of the amplicons, followed by a melt curve to quantify the resulting </w:t>
      </w:r>
      <w:r w:rsidR="009C07D8" w:rsidRPr="00087CEE">
        <w:rPr>
          <w:rFonts w:cs="Arial"/>
          <w:color w:val="000000"/>
        </w:rPr>
        <w:t xml:space="preserve">indexed </w:t>
      </w:r>
      <w:r w:rsidR="007D0B48" w:rsidRPr="00087CEE">
        <w:rPr>
          <w:rFonts w:cs="Arial"/>
          <w:color w:val="000000"/>
        </w:rPr>
        <w:t xml:space="preserve">products. </w:t>
      </w:r>
      <w:r w:rsidR="009C07D8" w:rsidRPr="00087CEE">
        <w:rPr>
          <w:rFonts w:cs="Arial"/>
          <w:color w:val="000000"/>
        </w:rPr>
        <w:t xml:space="preserve">Libraries were pooled in equimolar ratios from the </w:t>
      </w:r>
      <w:proofErr w:type="spellStart"/>
      <w:r w:rsidR="009C07D8" w:rsidRPr="00087CEE">
        <w:rPr>
          <w:rFonts w:cs="Arial"/>
          <w:color w:val="000000"/>
        </w:rPr>
        <w:t>meltcurve</w:t>
      </w:r>
      <w:proofErr w:type="spellEnd"/>
      <w:r w:rsidR="009C07D8" w:rsidRPr="00087CEE">
        <w:rPr>
          <w:rFonts w:cs="Arial"/>
          <w:color w:val="000000"/>
        </w:rPr>
        <w:t xml:space="preserve"> data using a </w:t>
      </w:r>
      <w:proofErr w:type="spellStart"/>
      <w:r w:rsidR="009C07D8" w:rsidRPr="00087CEE">
        <w:rPr>
          <w:rFonts w:cs="Arial"/>
          <w:color w:val="000000"/>
        </w:rPr>
        <w:t>Biomek</w:t>
      </w:r>
      <w:proofErr w:type="spellEnd"/>
      <w:r w:rsidR="009C07D8" w:rsidRPr="00087CEE">
        <w:rPr>
          <w:rFonts w:cs="Arial"/>
          <w:color w:val="000000"/>
        </w:rPr>
        <w:t xml:space="preserve"> liquid handling robot and pooled libraries</w:t>
      </w:r>
      <w:r w:rsidR="007D0B48" w:rsidRPr="00087CEE">
        <w:rPr>
          <w:rFonts w:cs="Arial"/>
          <w:color w:val="000000"/>
        </w:rPr>
        <w:t xml:space="preserve"> were purified using a </w:t>
      </w:r>
      <w:r w:rsidR="009C07D8" w:rsidRPr="00087CEE">
        <w:rPr>
          <w:rFonts w:cs="Arial"/>
          <w:color w:val="000000"/>
        </w:rPr>
        <w:t>0.8</w:t>
      </w:r>
      <w:r w:rsidR="007D0B48" w:rsidRPr="00087CEE">
        <w:rPr>
          <w:rFonts w:cs="Arial"/>
          <w:color w:val="000000"/>
        </w:rPr>
        <w:t xml:space="preserve">:1 ratio of </w:t>
      </w:r>
      <w:proofErr w:type="spellStart"/>
      <w:r w:rsidR="007D0B48" w:rsidRPr="00087CEE">
        <w:rPr>
          <w:rFonts w:cs="Arial"/>
          <w:color w:val="000000"/>
        </w:rPr>
        <w:t>AMPure</w:t>
      </w:r>
      <w:proofErr w:type="spellEnd"/>
      <w:r w:rsidR="007D0B48" w:rsidRPr="00087CEE">
        <w:rPr>
          <w:rFonts w:cs="Arial"/>
          <w:color w:val="000000"/>
        </w:rPr>
        <w:t xml:space="preserve"> XP beads. The libraries were </w:t>
      </w:r>
      <w:r w:rsidR="009C07D8" w:rsidRPr="00087CEE">
        <w:rPr>
          <w:rFonts w:cs="Arial"/>
          <w:color w:val="000000"/>
        </w:rPr>
        <w:t xml:space="preserve">then sized and quantified </w:t>
      </w:r>
      <w:r w:rsidR="007D0B48" w:rsidRPr="00087CEE">
        <w:rPr>
          <w:rFonts w:cs="Arial"/>
          <w:color w:val="000000"/>
        </w:rPr>
        <w:t xml:space="preserve">using a 2200 </w:t>
      </w:r>
      <w:proofErr w:type="spellStart"/>
      <w:r w:rsidR="007D0B48" w:rsidRPr="00087CEE">
        <w:rPr>
          <w:rFonts w:cs="Arial"/>
          <w:color w:val="000000"/>
        </w:rPr>
        <w:t>TapeStation</w:t>
      </w:r>
      <w:proofErr w:type="spellEnd"/>
      <w:r w:rsidR="007D0B48" w:rsidRPr="00087CEE">
        <w:rPr>
          <w:rFonts w:cs="Arial"/>
          <w:color w:val="000000"/>
        </w:rPr>
        <w:t xml:space="preserve"> (Agilent Technologies)</w:t>
      </w:r>
      <w:r w:rsidR="009C07D8" w:rsidRPr="00087CEE">
        <w:rPr>
          <w:rFonts w:cs="Arial"/>
          <w:color w:val="000000"/>
        </w:rPr>
        <w:t xml:space="preserve"> and a </w:t>
      </w:r>
      <w:r w:rsidR="007D0B48" w:rsidRPr="00087CEE">
        <w:rPr>
          <w:rFonts w:cs="Arial"/>
          <w:color w:val="000000"/>
        </w:rPr>
        <w:t>Qubit 3.0 Fluorometer (Life Technologies)</w:t>
      </w:r>
      <w:r w:rsidR="009C07D8" w:rsidRPr="00087CEE">
        <w:rPr>
          <w:rFonts w:cs="Arial"/>
          <w:color w:val="000000"/>
        </w:rPr>
        <w:t xml:space="preserve"> respectively, and </w:t>
      </w:r>
      <w:r w:rsidR="007D0B48" w:rsidRPr="00087CEE">
        <w:rPr>
          <w:rFonts w:cs="Arial"/>
          <w:color w:val="000000"/>
        </w:rPr>
        <w:t xml:space="preserve">then diluted 7 </w:t>
      </w:r>
      <w:proofErr w:type="spellStart"/>
      <w:r w:rsidR="007D0B48" w:rsidRPr="00087CEE">
        <w:rPr>
          <w:rFonts w:cs="Arial"/>
          <w:color w:val="000000"/>
        </w:rPr>
        <w:t>pM</w:t>
      </w:r>
      <w:proofErr w:type="spellEnd"/>
      <w:r w:rsidR="007D0B48" w:rsidRPr="00087CEE">
        <w:rPr>
          <w:rFonts w:cs="Arial"/>
          <w:color w:val="000000"/>
        </w:rPr>
        <w:t xml:space="preserve"> for sequencing on the Illumina </w:t>
      </w:r>
      <w:proofErr w:type="spellStart"/>
      <w:r w:rsidR="007D0B48" w:rsidRPr="00087CEE">
        <w:rPr>
          <w:rFonts w:cs="Arial"/>
          <w:color w:val="000000"/>
        </w:rPr>
        <w:t>MiSeq</w:t>
      </w:r>
      <w:proofErr w:type="spellEnd"/>
      <w:r w:rsidR="007D0B48" w:rsidRPr="00087CEE">
        <w:rPr>
          <w:rFonts w:cs="Arial"/>
          <w:color w:val="000000"/>
        </w:rPr>
        <w:t xml:space="preserve"> platform (2 x </w:t>
      </w:r>
      <w:r w:rsidR="009C07D8" w:rsidRPr="00087CEE">
        <w:rPr>
          <w:rFonts w:cs="Arial"/>
          <w:color w:val="000000"/>
        </w:rPr>
        <w:t>150</w:t>
      </w:r>
      <w:r w:rsidR="007D0B48" w:rsidRPr="00087CEE">
        <w:rPr>
          <w:rFonts w:cs="Arial"/>
          <w:color w:val="000000"/>
        </w:rPr>
        <w:t xml:space="preserve"> bp reads).</w:t>
      </w:r>
    </w:p>
    <w:p w14:paraId="31F69DE9" w14:textId="41AB4ABB" w:rsidR="00A12B58" w:rsidRDefault="002B0DF8" w:rsidP="00356EA1">
      <w:pPr>
        <w:pStyle w:val="Heading2"/>
      </w:pPr>
      <w:r>
        <w:t xml:space="preserve">Index switching - validation and </w:t>
      </w:r>
      <w:proofErr w:type="spellStart"/>
      <w:r>
        <w:t>synthentic</w:t>
      </w:r>
      <w:proofErr w:type="spellEnd"/>
      <w:r>
        <w:t xml:space="preserve"> positive control</w:t>
      </w:r>
    </w:p>
    <w:p w14:paraId="1D1E47B4" w14:textId="4360A380" w:rsidR="002B0DF8" w:rsidRPr="002B0DF8" w:rsidRDefault="002B0DF8" w:rsidP="002B0DF8">
      <w:r>
        <w:t xml:space="preserve">Index switching was measured </w:t>
      </w:r>
      <w:r w:rsidR="00326F56">
        <w:t xml:space="preserve">using 2 different methods. Firstly </w:t>
      </w:r>
      <w:r>
        <w:t xml:space="preserve">indices </w:t>
      </w:r>
      <w:r w:rsidR="00326F56">
        <w:t xml:space="preserve">were summarised </w:t>
      </w:r>
      <w:r>
        <w:t xml:space="preserve">from </w:t>
      </w:r>
      <w:proofErr w:type="spellStart"/>
      <w:r>
        <w:t>fastq</w:t>
      </w:r>
      <w:proofErr w:type="spellEnd"/>
      <w:r>
        <w:t xml:space="preserve"> headers and calculating </w:t>
      </w:r>
      <w:r>
        <w:rPr>
          <w:rFonts w:cstheme="minorHAnsi"/>
        </w:rPr>
        <w:t xml:space="preserve">the ratio of valid (applied during library preparation) to invalid (pairs that could only arise due to switching) combinations </w:t>
      </w:r>
      <w:r>
        <w:rPr>
          <w:rFonts w:cstheme="minorHAnsi"/>
        </w:rPr>
        <w:fldChar w:fldCharType="begin" w:fldLock="1"/>
      </w:r>
      <w:r>
        <w:rPr>
          <w:rFonts w:cstheme="minorHAnsi"/>
        </w:rPr>
        <w:instrText>ADDIN CSL_CITATION {"citationItems":[{"id":"ITEM-1","itemData":{"DOI":"10.1016/j.tree.2018.01.014","ISSN":"01695347","PMID":"29496340","abstract":"Ecologists and evolutionary biologists have long been interested in the role of interspecific competition in the diversification of clades. These studies often focus on a single taxonomic group, making the implicit assumption that important competitive interactions occur only between closely related taxa, despite abundant documentation of intense competition between species that are distantly related. Specifically, this assumption ignores convergence of distantly related competitors on limiting niche axes and thus may miss cryptic effects of distantly related competitors on the evolution of focal clades. For example, distantly related competitors may act as important drivers of niche conservatism within clades, a pattern commonly ascribed to evolutionary constraints or the abiotic environment. Here we propose an alternative model of how niche similarity evolves when the functional traits of interest are mediated by unrelated phenotypic traits, as is often the case for distantly related competitors. This model represents an important conceptual step towards a more accurate, taxonomically inclusive understanding of the role that competition plays in the micro- and macroevolution of interacting species.","author":[{"dropping-particle":"","family":"Wilcox","given":"Taylor M.","non-dropping-particle":"","parse-names":false,"suffix":""},{"dropping-particle":"","family":"Schwartz","given":"Michael K.","non-dropping-particle":"","parse-names":false,"suffix":""},{"dropping-particle":"","family":"Lowe","given":"Winsor H.","non-dropping-particle":"","parse-names":false,"suffix":""}],"container-title":"Trends in Ecology and Evolution","id":"ITEM-1","issued":{"date-parts":[["2018"]]},"page":"1-11","publisher":"Elsevier Ltd","title":"Evolutionary Community Ecology: Time to Think Outside the (Taxonomic) Box","type":"article-journal"},"uris":["http://www.mendeley.com/documents/?uuid=5294e75c-d717-41d1-ad2d-5a1afeeff132"]}],"mendeley":{"formattedCitation":"(Wilcox, Schwartz, &amp; Lowe, 2018)","plainTextFormattedCitation":"(Wilcox, Schwartz, &amp; Lowe, 2018)"},"properties":{"noteIndex":0},"schema":"https://github.com/citation-style-language/schema/raw/master/csl-citation.json"}</w:instrText>
      </w:r>
      <w:r>
        <w:rPr>
          <w:rFonts w:cstheme="minorHAnsi"/>
        </w:rPr>
        <w:fldChar w:fldCharType="separate"/>
      </w:r>
      <w:r w:rsidRPr="002B0DF8">
        <w:rPr>
          <w:rFonts w:cstheme="minorHAnsi"/>
          <w:noProof/>
        </w:rPr>
        <w:t>(Wilcox, Schwartz, &amp; Lowe, 2018)</w:t>
      </w:r>
      <w:r>
        <w:rPr>
          <w:rFonts w:cstheme="minorHAnsi"/>
        </w:rPr>
        <w:fldChar w:fldCharType="end"/>
      </w:r>
      <w:r>
        <w:rPr>
          <w:rFonts w:cstheme="minorHAnsi"/>
        </w:rPr>
        <w:t xml:space="preserve">. </w:t>
      </w:r>
      <w:r w:rsidR="00326F56">
        <w:rPr>
          <w:rFonts w:cstheme="minorHAnsi"/>
        </w:rPr>
        <w:t>Secondly, in the positive control case where a DNA should be unambiguously assignable to a single sample due to it being a synthetic molecule, the sequence was mapped to its expected sample as well as any other samples and the ratio calculated.</w:t>
      </w:r>
      <w:bookmarkStart w:id="5" w:name="_GoBack"/>
      <w:bookmarkEnd w:id="5"/>
    </w:p>
    <w:p w14:paraId="5D14B4D5" w14:textId="79437FFE" w:rsidR="00A12B58" w:rsidRPr="00087CEE" w:rsidRDefault="009C07D8" w:rsidP="00356EA1">
      <w:pPr>
        <w:spacing w:after="160"/>
      </w:pPr>
      <w:r w:rsidRPr="00087CEE">
        <w:t>To d</w:t>
      </w:r>
      <w:r w:rsidR="006D522A" w:rsidRPr="00087CEE">
        <w:t xml:space="preserve">esign </w:t>
      </w:r>
      <w:r w:rsidR="00F81B3D" w:rsidRPr="00087CEE">
        <w:t>synthetic positive controls</w:t>
      </w:r>
      <w:r w:rsidR="00E446A3" w:rsidRPr="00087CEE">
        <w:t xml:space="preserve">, </w:t>
      </w:r>
      <w:r w:rsidR="00A12B58" w:rsidRPr="00087CEE">
        <w:t xml:space="preserve">PHMM’s were </w:t>
      </w:r>
      <w:r w:rsidR="00F81B3D" w:rsidRPr="00087CEE">
        <w:t>derived</w:t>
      </w:r>
      <w:r w:rsidR="00A12B58" w:rsidRPr="00087CEE">
        <w:t xml:space="preserve"> f</w:t>
      </w:r>
      <w:r w:rsidR="00F81B3D" w:rsidRPr="00087CEE">
        <w:t>rom the curated alignments of</w:t>
      </w:r>
      <w:r w:rsidR="00A12B58" w:rsidRPr="00087CEE">
        <w:t xml:space="preserve"> 13 target families, </w:t>
      </w:r>
      <w:r w:rsidR="00F81B3D" w:rsidRPr="00087CEE">
        <w:t>covering 7 orders using the aphid R package and novel sequences were generated from the per base probabilities contained within the profiles.</w:t>
      </w:r>
      <w:r w:rsidR="00A12B58" w:rsidRPr="00087CEE">
        <w:t xml:space="preserve"> </w:t>
      </w:r>
      <w:r w:rsidR="00F81B3D" w:rsidRPr="00087CEE">
        <w:t xml:space="preserve">Novel sequences </w:t>
      </w:r>
      <w:r w:rsidR="00A12B58" w:rsidRPr="00087CEE">
        <w:t>were</w:t>
      </w:r>
      <w:r w:rsidR="00F81B3D" w:rsidRPr="00087CEE">
        <w:t xml:space="preserve"> then checked for absence of stop codons which could cause removal during bioinformatic </w:t>
      </w:r>
      <w:r w:rsidR="003212B5" w:rsidRPr="00087CEE">
        <w:t>processing and</w:t>
      </w:r>
      <w:r w:rsidR="00A12B58" w:rsidRPr="00087CEE">
        <w:t xml:space="preserve"> verified through BLAST searches to be</w:t>
      </w:r>
      <w:r w:rsidR="00F81B3D" w:rsidRPr="00087CEE">
        <w:t xml:space="preserve"> greater than 8% diverged from any sequence on the GenBank nucleotide database for the </w:t>
      </w:r>
      <w:r w:rsidR="00A12B58" w:rsidRPr="00087CEE">
        <w:t xml:space="preserve">entire </w:t>
      </w:r>
      <w:r w:rsidR="00F81B3D" w:rsidRPr="00087CEE">
        <w:t xml:space="preserve">658bp </w:t>
      </w:r>
      <w:r w:rsidR="00A12B58" w:rsidRPr="00087CEE">
        <w:t>sequence and within the ~220bp amplified region</w:t>
      </w:r>
      <w:r w:rsidR="00F81B3D" w:rsidRPr="00087CEE">
        <w:t xml:space="preserve"> of candidate primers. To improve the GC balance for synthesis and allow further differentiation from </w:t>
      </w:r>
      <w:r w:rsidR="00F81B3D" w:rsidRPr="00087CEE">
        <w:lastRenderedPageBreak/>
        <w:t xml:space="preserve">biological sequences the letters PAC short for Positive Amplification Control was spelt in amino acids (CCT GCC TGC) and added to each side of the 658bp synthetic </w:t>
      </w:r>
      <w:proofErr w:type="spellStart"/>
      <w:r w:rsidR="00F81B3D" w:rsidRPr="00087CEE">
        <w:t>folmer</w:t>
      </w:r>
      <w:proofErr w:type="spellEnd"/>
      <w:r w:rsidR="00F81B3D" w:rsidRPr="00087CEE">
        <w:t xml:space="preserve"> region before synthesis as </w:t>
      </w:r>
      <w:proofErr w:type="spellStart"/>
      <w:r w:rsidR="00F81B3D" w:rsidRPr="00087CEE">
        <w:t>GeneBlock</w:t>
      </w:r>
      <w:proofErr w:type="spellEnd"/>
      <w:r w:rsidR="00F81B3D" w:rsidRPr="00087CEE">
        <w:t xml:space="preserve"> fragments by Integrated DNA Technologies (Iowa, USA).</w:t>
      </w:r>
    </w:p>
    <w:p w14:paraId="489994E2" w14:textId="5C6A903F" w:rsidR="004C1E3D" w:rsidRPr="00087CEE" w:rsidRDefault="002971B5" w:rsidP="00356EA1">
      <w:pPr>
        <w:pStyle w:val="Heading2"/>
        <w:rPr>
          <w:lang w:eastAsia="en-AU"/>
        </w:rPr>
      </w:pPr>
      <w:r>
        <w:rPr>
          <w:lang w:eastAsia="en-AU"/>
        </w:rPr>
        <w:t>Evaluation on field samples</w:t>
      </w:r>
    </w:p>
    <w:p w14:paraId="73A408B4" w14:textId="3D67086D" w:rsidR="003212B5" w:rsidRPr="00087CEE" w:rsidRDefault="004C1E3D" w:rsidP="00356EA1">
      <w:r w:rsidRPr="00087CEE">
        <w:rPr>
          <w:lang w:eastAsia="en-AU"/>
        </w:rPr>
        <w:t xml:space="preserve">For validation of the metabarcoding assay on a real background of Australian drosophila species, field trapping was conducted in </w:t>
      </w:r>
      <w:r w:rsidR="004E2B4F" w:rsidRPr="00087CEE">
        <w:rPr>
          <w:lang w:eastAsia="en-AU"/>
        </w:rPr>
        <w:t>a cherry</w:t>
      </w:r>
      <w:r w:rsidRPr="00087CEE">
        <w:rPr>
          <w:lang w:eastAsia="en-AU"/>
        </w:rPr>
        <w:t xml:space="preserve"> </w:t>
      </w:r>
      <w:r w:rsidR="004E2B4F" w:rsidRPr="00087CEE">
        <w:rPr>
          <w:lang w:eastAsia="en-AU"/>
        </w:rPr>
        <w:t>(</w:t>
      </w:r>
      <w:proofErr w:type="spellStart"/>
      <w:r w:rsidR="004E2B4F" w:rsidRPr="00087CEE">
        <w:rPr>
          <w:lang w:eastAsia="en-AU"/>
        </w:rPr>
        <w:t>Preffered</w:t>
      </w:r>
      <w:proofErr w:type="spellEnd"/>
      <w:r w:rsidR="004E2B4F" w:rsidRPr="00087CEE">
        <w:rPr>
          <w:lang w:eastAsia="en-AU"/>
        </w:rPr>
        <w:t xml:space="preserve"> host) and </w:t>
      </w:r>
      <w:proofErr w:type="spellStart"/>
      <w:r w:rsidR="004E2B4F" w:rsidRPr="00087CEE">
        <w:rPr>
          <w:lang w:eastAsia="en-AU"/>
        </w:rPr>
        <w:t>stonefruit</w:t>
      </w:r>
      <w:proofErr w:type="spellEnd"/>
      <w:r w:rsidR="004E2B4F" w:rsidRPr="00087CEE">
        <w:rPr>
          <w:lang w:eastAsia="en-AU"/>
        </w:rPr>
        <w:t xml:space="preserve"> (Secondary host) </w:t>
      </w:r>
      <w:r w:rsidRPr="00087CEE">
        <w:rPr>
          <w:lang w:eastAsia="en-AU"/>
        </w:rPr>
        <w:t>orchard located in Victoria, Australia</w:t>
      </w:r>
      <w:r w:rsidR="004E2B4F" w:rsidRPr="00087CEE">
        <w:rPr>
          <w:lang w:eastAsia="en-AU"/>
        </w:rPr>
        <w:t xml:space="preserve"> for a total of 10 weeks through the fruit ripening season</w:t>
      </w:r>
      <w:r w:rsidR="001E6DF2" w:rsidRPr="00087CEE">
        <w:rPr>
          <w:lang w:eastAsia="en-AU"/>
        </w:rPr>
        <w:t>, with traps collected every 2 weeks</w:t>
      </w:r>
      <w:r w:rsidR="004E2B4F" w:rsidRPr="00087CEE">
        <w:rPr>
          <w:lang w:eastAsia="en-AU"/>
        </w:rPr>
        <w:t xml:space="preserve">. Red cup traps similar to </w:t>
      </w:r>
      <w:r w:rsidR="004E2B4F" w:rsidRPr="00087CEE">
        <w:rPr>
          <w:lang w:eastAsia="en-AU"/>
        </w:rPr>
        <w:fldChar w:fldCharType="begin" w:fldLock="1"/>
      </w:r>
      <w:r w:rsidR="004E2B4F" w:rsidRPr="00087CEE">
        <w:rPr>
          <w:lang w:eastAsia="en-AU"/>
        </w:rPr>
        <w:instrText>ADDIN CSL_CITATION {"citationItems":[{"id":"ITEM-1","itemData":{"DOI":"10.1603/EC12132","ISBN":"0022-0493","ISSN":"00220493","PMID":"22928316","abstract":"Drosophila suzukii Matsumura (Diptera: Drosophilidae), a recent invasive pest of small and stone fruits, has been detected in more than half of the U.S. states, and in Canada, Mexico, and Europe. Upon discovery, several different trap designs were recommended for monitoring. This study compared the trap designs across seven states/provinces in North America and nine crop types. Between May and November 2011, we compared a clear cup with 10 side holes (clear); a commercial trap with two side holes (commercial); a Rubbermaid container with mesh lid and rain tent (Haviland), and with 10 side holes and no tent (modified Haviland); a red cup with 10 side holes (red); and a white container with mesh lid and rain tent (Van Steenwyk). Although fly catches among traps varied per site, overall, the Haviland trap caught the most D. suzukii, followed by the red, Van Steenwyk, and clear trap. The modified Haviland and commercial trap had low captures. Among five crop types in Oregon, a clear cup with mesh sides (Dreves) also was tested and caught the most flies. Traps with greater entry areas, found in mesh traps, caught more flies than traps with smaller entry areas. In terms of sensitivity and selectivity, traps that caught more flies likewise caught flies earlier, and all traps caught 26–31% D. suzukii out of the total Drosophila captured. Future trap improvements should incorporate more entry points and focus on selective baits to improve efficiency and selectivity with regard to the seasonal behavior of D. suzukii.","author":[{"dropping-particle":"","family":"Lee","given":"Jana C.","non-dropping-particle":"","parse-names":false,"suffix":""},{"dropping-particle":"","family":"Burrack","given":"Hannah J.","non-dropping-particle":"","parse-names":false,"suffix":""},{"dropping-particle":"","family":"Barrantes","given":"Luz D.","non-dropping-particle":"","parse-names":false,"suffix":""},{"dropping-particle":"","family":"Beers","given":"Elizabeth H.","non-dropping-particle":"","parse-names":false,"suffix":""},{"dropping-particle":"","family":"Dreves","given":"Amy J.","non-dropping-particle":"","parse-names":false,"suffix":""},{"dropping-particle":"","family":"Hamby","given":"Kelly A.","non-dropping-particle":"","parse-names":false,"suffix":""},{"dropping-particle":"","family":"Haviland","given":"David R.","non-dropping-particle":"","parse-names":false,"suffix":""},{"dropping-particle":"","family":"Isaacs","given":"Rufus","non-dropping-particle":"","parse-names":false,"suffix":""},{"dropping-particle":"","family":"Richardson","given":"Tamara A.","non-dropping-particle":"","parse-names":false,"suffix":""},{"dropping-particle":"","family":"Shearer","given":"Peter W.","non-dropping-particle":"","parse-names":false,"suffix":""},{"dropping-particle":"","family":"Stanley","given":"Cory A.","non-dropping-particle":"","parse-names":false,"suffix":""},{"dropping-particle":"","family":"Walsh","given":"Douglas B.","non-dropping-particle":"","parse-names":false,"suffix":""},{"dropping-particle":"","family":"Walton","given":"Vaughn M.","non-dropping-particle":"","parse-names":false,"suffix":""},{"dropping-particle":"","family":"Zalom","given":"Frank G.","non-dropping-particle":"","parse-names":false,"suffix":""},{"dropping-particle":"","family":"Bruck","given":"Denny J.","non-dropping-particle":"","parse-names":false,"suffix":""}],"container-title":"Journal of Economic Entomology","id":"ITEM-1","issue":"4","issued":{"date-parts":[["2012"]]},"page":"1350-1357","title":"Evaluation of monitoring traps for Drosophila suzukii (Diptera: Drosophilidae) in North America","type":"article-journal","volume":"105"},"uris":["http://www.mendeley.com/documents/?uuid=25485920-d8e3-464a-839d-b73de8ac9fb6"]}],"mendeley":{"formattedCitation":"(Lee et al., 2012)","plainTextFormattedCitation":"(Lee et al., 2012)","previouslyFormattedCitation":"(Lee et al., 2012)"},"properties":{"noteIndex":0},"schema":"https://github.com/citation-style-language/schema/raw/master/csl-citation.json"}</w:instrText>
      </w:r>
      <w:r w:rsidR="004E2B4F" w:rsidRPr="00087CEE">
        <w:rPr>
          <w:lang w:eastAsia="en-AU"/>
        </w:rPr>
        <w:fldChar w:fldCharType="separate"/>
      </w:r>
      <w:r w:rsidR="004E2B4F" w:rsidRPr="00087CEE">
        <w:rPr>
          <w:noProof/>
          <w:lang w:eastAsia="en-AU"/>
        </w:rPr>
        <w:t>(Lee et al., 2012)</w:t>
      </w:r>
      <w:r w:rsidR="004E2B4F" w:rsidRPr="00087CEE">
        <w:rPr>
          <w:lang w:eastAsia="en-AU"/>
        </w:rPr>
        <w:fldChar w:fldCharType="end"/>
      </w:r>
      <w:r w:rsidR="004E2B4F" w:rsidRPr="00087CEE">
        <w:rPr>
          <w:lang w:eastAsia="en-AU"/>
        </w:rPr>
        <w:t xml:space="preserve"> were employed containing one of 4 attractants </w:t>
      </w:r>
      <w:r w:rsidR="004E2B4F" w:rsidRPr="00087CEE">
        <w:rPr>
          <w:highlight w:val="yellow"/>
          <w:lang w:eastAsia="en-AU"/>
        </w:rPr>
        <w:t>(Table )</w:t>
      </w:r>
      <w:r w:rsidR="001E6DF2" w:rsidRPr="00087CEE">
        <w:rPr>
          <w:lang w:eastAsia="en-AU"/>
        </w:rPr>
        <w:t>, and in addition larvae were retrieved from recently fallen and damaged fruits. All field collected samples</w:t>
      </w:r>
      <w:r w:rsidR="003212B5" w:rsidRPr="00087CEE">
        <w:rPr>
          <w:lang w:eastAsia="en-AU"/>
        </w:rPr>
        <w:t xml:space="preserve"> were combined by week for each treatment and orchard, yielding 22 trap samples and 7 larval samples across both orchards</w:t>
      </w:r>
      <w:r w:rsidR="001E6DF2" w:rsidRPr="00087CEE">
        <w:rPr>
          <w:lang w:eastAsia="en-AU"/>
        </w:rPr>
        <w:t xml:space="preserve"> for DNA metabarcoding</w:t>
      </w:r>
      <w:r w:rsidR="003212B5" w:rsidRPr="00087CEE">
        <w:rPr>
          <w:lang w:eastAsia="en-AU"/>
        </w:rPr>
        <w:t xml:space="preserve">. </w:t>
      </w:r>
      <w:r w:rsidR="001E6DF2" w:rsidRPr="00087CEE">
        <w:rPr>
          <w:i/>
          <w:lang w:eastAsia="en-AU"/>
        </w:rPr>
        <w:t xml:space="preserve">D. </w:t>
      </w:r>
      <w:proofErr w:type="spellStart"/>
      <w:r w:rsidR="001E6DF2" w:rsidRPr="00087CEE">
        <w:rPr>
          <w:i/>
          <w:lang w:eastAsia="en-AU"/>
        </w:rPr>
        <w:t>suzukii</w:t>
      </w:r>
      <w:proofErr w:type="spellEnd"/>
      <w:r w:rsidR="001E6DF2" w:rsidRPr="00087CEE">
        <w:rPr>
          <w:lang w:eastAsia="en-AU"/>
        </w:rPr>
        <w:t xml:space="preserve">, </w:t>
      </w:r>
      <w:r w:rsidR="001E6DF2" w:rsidRPr="00087CEE">
        <w:rPr>
          <w:i/>
          <w:lang w:eastAsia="en-AU"/>
        </w:rPr>
        <w:t xml:space="preserve">D. </w:t>
      </w:r>
      <w:proofErr w:type="spellStart"/>
      <w:r w:rsidR="001E6DF2" w:rsidRPr="00087CEE">
        <w:rPr>
          <w:i/>
          <w:lang w:eastAsia="en-AU"/>
        </w:rPr>
        <w:t>subpulchrella</w:t>
      </w:r>
      <w:proofErr w:type="spellEnd"/>
      <w:r w:rsidR="001E6DF2" w:rsidRPr="00087CEE">
        <w:rPr>
          <w:lang w:eastAsia="en-AU"/>
        </w:rPr>
        <w:t xml:space="preserve"> and </w:t>
      </w:r>
      <w:r w:rsidR="001E6DF2" w:rsidRPr="00087CEE">
        <w:rPr>
          <w:i/>
          <w:lang w:eastAsia="en-AU"/>
        </w:rPr>
        <w:t xml:space="preserve">D. </w:t>
      </w:r>
      <w:proofErr w:type="spellStart"/>
      <w:r w:rsidR="001E6DF2" w:rsidRPr="00087CEE">
        <w:rPr>
          <w:i/>
          <w:lang w:eastAsia="en-AU"/>
        </w:rPr>
        <w:t>biarmipes</w:t>
      </w:r>
      <w:proofErr w:type="spellEnd"/>
      <w:r w:rsidR="001E6DF2" w:rsidRPr="00087CEE">
        <w:rPr>
          <w:lang w:eastAsia="en-AU"/>
        </w:rPr>
        <w:t xml:space="preserve"> individuals were spiked into n traps (Supplementary </w:t>
      </w:r>
      <w:r w:rsidR="001E6DF2" w:rsidRPr="00087CEE">
        <w:rPr>
          <w:highlight w:val="yellow"/>
          <w:lang w:eastAsia="en-AU"/>
        </w:rPr>
        <w:t>n</w:t>
      </w:r>
      <w:r w:rsidR="001E6DF2" w:rsidRPr="00087CEE">
        <w:rPr>
          <w:lang w:eastAsia="en-AU"/>
        </w:rPr>
        <w:t xml:space="preserve">). </w:t>
      </w:r>
      <w:r w:rsidR="003212B5" w:rsidRPr="00087CEE">
        <w:rPr>
          <w:lang w:eastAsia="en-AU"/>
        </w:rPr>
        <w:t>DNA was extracted as previous, with the exception that l</w:t>
      </w:r>
      <w:r w:rsidR="003212B5" w:rsidRPr="00087CEE">
        <w:t>ysates of each community were replicated twice at before running through columns, and each finalised extract was replicated 3 times prior to PCR in order to test the contribution of technical replicates to detection</w:t>
      </w:r>
      <w:r w:rsidR="001E6DF2" w:rsidRPr="00087CEE">
        <w:t xml:space="preserve"> success</w:t>
      </w:r>
      <w:r w:rsidR="003212B5" w:rsidRPr="00087CEE">
        <w:t>. As insufficient 8bp unique dual indexes were available to facilitate the simultaneous analysis of this many samples, a twin tagging approach was used</w:t>
      </w:r>
      <w:r w:rsidR="001E6DF2" w:rsidRPr="00087CEE">
        <w:t xml:space="preserve"> where 3 modified versions of the forward and reverse tags were created </w:t>
      </w:r>
      <w:r w:rsidR="003212B5" w:rsidRPr="00087CEE">
        <w:t>with a 2-4bp inline tag added to the 5’- end of the primer to allow differentiation of each PCR replicate</w:t>
      </w:r>
      <w:r w:rsidR="001E6DF2" w:rsidRPr="00087CEE">
        <w:t xml:space="preserve"> (Supplementary </w:t>
      </w:r>
      <w:r w:rsidR="001E6DF2" w:rsidRPr="00087CEE">
        <w:rPr>
          <w:highlight w:val="yellow"/>
        </w:rPr>
        <w:t>n</w:t>
      </w:r>
      <w:r w:rsidR="001E6DF2" w:rsidRPr="00087CEE">
        <w:t>)</w:t>
      </w:r>
      <w:r w:rsidR="003212B5" w:rsidRPr="00087CEE">
        <w:t xml:space="preserve">. These inline tags were designed to be length variable to improve phasing during the critical first cycles of the sequencing process </w:t>
      </w:r>
      <w:r w:rsidR="003212B5" w:rsidRPr="00087CEE">
        <w:fldChar w:fldCharType="begin" w:fldLock="1"/>
      </w:r>
      <w:r w:rsidR="003212B5" w:rsidRPr="00087CEE">
        <w:instrText>ADDIN CSL_CITATION {"citationItems":[{"id":"ITEM-1","itemData":{"DOI":"10.1038/nmeth.2634","ISBN":"1548-7091","ISSN":"15487091","PMID":"23995388","abstract":"We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bias.","author":[{"dropping-particle":"","family":"Lundberg","given":"Derek S.","non-dropping-particle":"","parse-names":false,"suffix":""},{"dropping-particle":"","family":"Yourstone","given":"Scott","non-dropping-particle":"","parse-names":false,"suffix":""},{"dropping-particle":"","family":"Mieczkowski","given":"Piotr","non-dropping-particle":"","parse-names":false,"suffix":""},{"dropping-particle":"","family":"Jones","given":"Corbin D.","non-dropping-particle":"","parse-names":false,"suffix":""},{"dropping-particle":"","family":"Dangl","given":"Jeffery L.","non-dropping-particle":"","parse-names":false,"suffix":""}],"container-title":"Nature Methods","id":"ITEM-1","issue":"10","issued":{"date-parts":[["2013"]]},"page":"999-1002","title":"Practical innovations for high-throughput amplicon sequencing","type":"article-journal","volume":"10"},"uris":["http://www.mendeley.com/documents/?uuid=4e76919c-6bbb-4ccd-8372-2dc926e37ada"]}],"mendeley":{"formattedCitation":"(Lundberg, Yourstone, Mieczkowski, Jones, &amp; Dangl, 2013)","plainTextFormattedCitation":"(Lundberg, Yourstone, Mieczkowski, Jones, &amp; Dangl, 2013)","previouslyFormattedCitation":"(Lundberg, Yourstone, Mieczkowski, Jones, &amp; Dangl, 2013)"},"properties":{"noteIndex":0},"schema":"https://github.com/citation-style-language/schema/raw/master/csl-citation.json"}</w:instrText>
      </w:r>
      <w:r w:rsidR="003212B5" w:rsidRPr="00087CEE">
        <w:fldChar w:fldCharType="separate"/>
      </w:r>
      <w:r w:rsidR="003212B5" w:rsidRPr="00087CEE">
        <w:rPr>
          <w:noProof/>
        </w:rPr>
        <w:t xml:space="preserve">(Lundberg, </w:t>
      </w:r>
      <w:r w:rsidR="003212B5" w:rsidRPr="00087CEE">
        <w:rPr>
          <w:noProof/>
        </w:rPr>
        <w:lastRenderedPageBreak/>
        <w:t>Yourstone, Mieczkowski, Jones, &amp; Dangl, 2013)</w:t>
      </w:r>
      <w:r w:rsidR="003212B5" w:rsidRPr="00087CEE">
        <w:fldChar w:fldCharType="end"/>
      </w:r>
      <w:r w:rsidR="003212B5" w:rsidRPr="00087CEE">
        <w:t xml:space="preserve"> and therefore allow a reduced </w:t>
      </w:r>
      <w:proofErr w:type="spellStart"/>
      <w:r w:rsidR="003212B5" w:rsidRPr="00087CEE">
        <w:t>PhiX</w:t>
      </w:r>
      <w:proofErr w:type="spellEnd"/>
      <w:r w:rsidR="003212B5" w:rsidRPr="00087CEE">
        <w:t xml:space="preserve"> spike in. </w:t>
      </w:r>
      <w:r w:rsidR="00200AB7" w:rsidRPr="00087CEE">
        <w:t xml:space="preserve">All </w:t>
      </w:r>
      <w:r w:rsidR="001E6DF2" w:rsidRPr="00087CEE">
        <w:t xml:space="preserve">field </w:t>
      </w:r>
      <w:r w:rsidR="00200AB7" w:rsidRPr="00087CEE">
        <w:t xml:space="preserve">samples were sequenced on </w:t>
      </w:r>
      <w:r w:rsidR="001E6DF2" w:rsidRPr="00087CEE">
        <w:t>a 5</w:t>
      </w:r>
      <w:r w:rsidR="001E6DF2" w:rsidRPr="00087CEE">
        <w:rPr>
          <w:vertAlign w:val="superscript"/>
        </w:rPr>
        <w:t>th</w:t>
      </w:r>
      <w:r w:rsidR="001E6DF2" w:rsidRPr="00087CEE">
        <w:t xml:space="preserve"> of an </w:t>
      </w:r>
      <w:r w:rsidR="00200AB7" w:rsidRPr="00087CEE">
        <w:t xml:space="preserve">Illumina </w:t>
      </w:r>
      <w:proofErr w:type="spellStart"/>
      <w:r w:rsidR="00200AB7" w:rsidRPr="00087CEE">
        <w:t>NovaSeq</w:t>
      </w:r>
      <w:proofErr w:type="spellEnd"/>
      <w:r w:rsidR="00200AB7" w:rsidRPr="00087CEE">
        <w:t xml:space="preserve"> 6000</w:t>
      </w:r>
      <w:r w:rsidR="001E6DF2" w:rsidRPr="00087CEE">
        <w:t xml:space="preserve"> S2 flow cell</w:t>
      </w:r>
      <w:r w:rsidR="00200AB7" w:rsidRPr="00087CEE">
        <w:t xml:space="preserve">. </w:t>
      </w:r>
    </w:p>
    <w:p w14:paraId="37ACE165" w14:textId="342DB94C" w:rsidR="007D0B48" w:rsidRPr="00087CEE" w:rsidRDefault="007D0B48" w:rsidP="00356EA1">
      <w:pPr>
        <w:pStyle w:val="Heading2"/>
      </w:pPr>
      <w:r w:rsidRPr="00087CEE">
        <w:t>Bioinformatics analysis</w:t>
      </w:r>
    </w:p>
    <w:p w14:paraId="06DBC1F7" w14:textId="6DED965B" w:rsidR="007D0B48" w:rsidRPr="00087CEE" w:rsidRDefault="0025491E" w:rsidP="00356EA1">
      <w:r w:rsidRPr="00087CEE">
        <w:t>Raw sequence reads were demultiplexed using bcl2fastq with 0 mismatches</w:t>
      </w:r>
      <w:r w:rsidR="00200AB7" w:rsidRPr="00087CEE">
        <w:t xml:space="preserve">, </w:t>
      </w:r>
      <w:r w:rsidR="00E446A3" w:rsidRPr="00087CEE">
        <w:t xml:space="preserve">followed by </w:t>
      </w:r>
      <w:r w:rsidRPr="00087CEE">
        <w:t xml:space="preserve">a second round of demultiplexing </w:t>
      </w:r>
      <w:r w:rsidR="00E446A3" w:rsidRPr="00087CEE">
        <w:t xml:space="preserve">for the inline tags </w:t>
      </w:r>
      <w:r w:rsidRPr="00087CEE">
        <w:t xml:space="preserve">using Seal in </w:t>
      </w:r>
      <w:proofErr w:type="spellStart"/>
      <w:r w:rsidRPr="00087CEE">
        <w:t>BBTools</w:t>
      </w:r>
      <w:proofErr w:type="spellEnd"/>
      <w:r w:rsidRPr="00087CEE">
        <w:t xml:space="preserve"> v38. </w:t>
      </w:r>
      <w:r w:rsidR="007D0B48" w:rsidRPr="00087CEE">
        <w:rPr>
          <w:rFonts w:cstheme="minorHAnsi"/>
        </w:rPr>
        <w:t xml:space="preserve">Demultiplexed </w:t>
      </w:r>
      <w:r w:rsidR="00C15DB6" w:rsidRPr="00087CEE">
        <w:rPr>
          <w:rFonts w:cstheme="minorHAnsi"/>
        </w:rPr>
        <w:t>sequencing</w:t>
      </w:r>
      <w:r w:rsidR="007D0B48" w:rsidRPr="00087CEE">
        <w:rPr>
          <w:rFonts w:cstheme="minorHAnsi"/>
        </w:rPr>
        <w:t xml:space="preserve"> reads were </w:t>
      </w:r>
      <w:r w:rsidRPr="00087CEE">
        <w:rPr>
          <w:rFonts w:cstheme="minorHAnsi"/>
        </w:rPr>
        <w:t xml:space="preserve">then </w:t>
      </w:r>
      <w:r w:rsidR="007D0B48" w:rsidRPr="00087CEE">
        <w:rPr>
          <w:rFonts w:cstheme="minorHAnsi"/>
        </w:rPr>
        <w:t xml:space="preserve">trimmed of </w:t>
      </w:r>
      <w:r w:rsidR="007D0B48" w:rsidRPr="00087CEE">
        <w:t>PCR primer</w:t>
      </w:r>
      <w:r w:rsidR="00E446A3" w:rsidRPr="00087CEE">
        <w:t xml:space="preserve"> sequences</w:t>
      </w:r>
      <w:r w:rsidR="007D0B48" w:rsidRPr="00087CEE">
        <w:t xml:space="preserve"> using </w:t>
      </w:r>
      <w:proofErr w:type="spellStart"/>
      <w:r w:rsidR="007D0B48" w:rsidRPr="00087CEE">
        <w:t>BBDuK</w:t>
      </w:r>
      <w:proofErr w:type="spellEnd"/>
      <w:r w:rsidR="007D0B48" w:rsidRPr="00087CEE">
        <w:t xml:space="preserve"> in </w:t>
      </w:r>
      <w:proofErr w:type="spellStart"/>
      <w:r w:rsidR="007D0B48" w:rsidRPr="00087CEE">
        <w:t>BBTools</w:t>
      </w:r>
      <w:proofErr w:type="spellEnd"/>
      <w:r w:rsidR="007D0B48" w:rsidRPr="00087CEE">
        <w:t xml:space="preserve"> v38. Sequence quality profiles were used to filter reads with more than </w:t>
      </w:r>
      <w:r w:rsidR="00447F6F">
        <w:t>one</w:t>
      </w:r>
      <w:r w:rsidR="007D0B48" w:rsidRPr="00087CEE">
        <w:t xml:space="preserve"> expected </w:t>
      </w:r>
      <w:proofErr w:type="gramStart"/>
      <w:r w:rsidR="007D0B48" w:rsidRPr="00087CEE">
        <w:t>errors</w:t>
      </w:r>
      <w:proofErr w:type="gramEnd"/>
      <w:r w:rsidR="00200AB7" w:rsidRPr="00087CEE">
        <w:t xml:space="preserve">, a </w:t>
      </w:r>
      <w:proofErr w:type="spellStart"/>
      <w:r w:rsidR="00200AB7" w:rsidRPr="00087CEE">
        <w:t>kmer</w:t>
      </w:r>
      <w:proofErr w:type="spellEnd"/>
      <w:r w:rsidR="00200AB7" w:rsidRPr="00087CEE">
        <w:t xml:space="preserve"> complexity less than 8, or those containing ambiguous ‘N’ Bases</w:t>
      </w:r>
      <w:r w:rsidR="00E446A3" w:rsidRPr="00087CEE">
        <w:t xml:space="preserve"> and a</w:t>
      </w:r>
      <w:r w:rsidR="007D0B48" w:rsidRPr="00087CEE">
        <w:t xml:space="preserve">ll remaining sequences </w:t>
      </w:r>
      <w:r w:rsidR="00200AB7" w:rsidRPr="00087CEE">
        <w:t>of size 124</w:t>
      </w:r>
      <w:r w:rsidR="007D0B48" w:rsidRPr="00087CEE">
        <w:t xml:space="preserve">bp were then analysed using DADA2 v1.9.3. As error rates can vary between </w:t>
      </w:r>
      <w:r w:rsidR="00200AB7" w:rsidRPr="00087CEE">
        <w:t>sequencing platforms</w:t>
      </w:r>
      <w:r w:rsidR="007D0B48" w:rsidRPr="00087CEE">
        <w:t xml:space="preserve"> and libraries, the </w:t>
      </w:r>
      <w:r w:rsidR="00200AB7" w:rsidRPr="00087CEE">
        <w:t xml:space="preserve">loess </w:t>
      </w:r>
      <w:r w:rsidR="007D0B48" w:rsidRPr="00087CEE">
        <w:t xml:space="preserve">error model </w:t>
      </w:r>
      <w:r w:rsidR="00200AB7" w:rsidRPr="00087CEE">
        <w:t xml:space="preserve">of DADA2 </w:t>
      </w:r>
      <w:r w:rsidR="007D0B48" w:rsidRPr="00087CEE">
        <w:t xml:space="preserve">was determined separately for each </w:t>
      </w:r>
      <w:r w:rsidR="00C15DB6" w:rsidRPr="00087CEE">
        <w:t>sequencing</w:t>
      </w:r>
      <w:r w:rsidR="007D0B48" w:rsidRPr="00087CEE">
        <w:t xml:space="preserve"> run</w:t>
      </w:r>
      <w:r w:rsidR="00200AB7" w:rsidRPr="00087CEE">
        <w:t xml:space="preserve"> and visualised to ensure correct fit before reads were denoised. For the </w:t>
      </w:r>
      <w:proofErr w:type="spellStart"/>
      <w:r w:rsidR="00200AB7" w:rsidRPr="00087CEE">
        <w:t>NovaSeq</w:t>
      </w:r>
      <w:proofErr w:type="spellEnd"/>
      <w:r w:rsidR="00200AB7" w:rsidRPr="00087CEE">
        <w:t xml:space="preserve"> data, due to the use of binned quality scores, the </w:t>
      </w:r>
      <w:r w:rsidR="00A17066" w:rsidRPr="00087CEE">
        <w:t>error matrix of nucleotide transitions</w:t>
      </w:r>
      <w:r w:rsidR="00200AB7" w:rsidRPr="00087CEE">
        <w:t xml:space="preserve"> was </w:t>
      </w:r>
      <w:r w:rsidR="00A17066" w:rsidRPr="00087CEE">
        <w:t xml:space="preserve">manually </w:t>
      </w:r>
      <w:r w:rsidR="00200AB7" w:rsidRPr="00087CEE">
        <w:t>modified to</w:t>
      </w:r>
      <w:r w:rsidR="00A17066" w:rsidRPr="00087CEE">
        <w:t xml:space="preserve"> set each error rate to the max detected from that or a higher quality score for that transition, in order to</w:t>
      </w:r>
      <w:r w:rsidR="00200AB7" w:rsidRPr="00087CEE">
        <w:t xml:space="preserve"> enforce monotonicity</w:t>
      </w:r>
      <w:r w:rsidR="007D0B48" w:rsidRPr="00087CEE">
        <w:t xml:space="preserve">. </w:t>
      </w:r>
      <w:r w:rsidR="00E446A3" w:rsidRPr="00087CEE">
        <w:t>F</w:t>
      </w:r>
      <w:r w:rsidR="007D0B48" w:rsidRPr="00087CEE">
        <w:t>ollowing denoising</w:t>
      </w:r>
      <w:r w:rsidR="00E446A3" w:rsidRPr="00087CEE">
        <w:t xml:space="preserve">, </w:t>
      </w:r>
      <w:r w:rsidR="007D0B48" w:rsidRPr="00087CEE">
        <w:t xml:space="preserve">the inferred ASVs from each </w:t>
      </w:r>
      <w:r w:rsidR="00A17066" w:rsidRPr="00087CEE">
        <w:t>sequencing run</w:t>
      </w:r>
      <w:r w:rsidR="007D0B48" w:rsidRPr="00087CEE">
        <w:t xml:space="preserve"> were combined into a single table </w:t>
      </w:r>
      <w:r w:rsidR="00A17066" w:rsidRPr="00087CEE">
        <w:t xml:space="preserve">and filtered to </w:t>
      </w:r>
      <w:r w:rsidR="007D0B48" w:rsidRPr="00087CEE">
        <w:t>remove chimeras</w:t>
      </w:r>
      <w:r w:rsidR="00A17066" w:rsidRPr="00087CEE">
        <w:t xml:space="preserve"> using the </w:t>
      </w:r>
      <w:proofErr w:type="spellStart"/>
      <w:r w:rsidR="00A17066" w:rsidRPr="00087CEE">
        <w:rPr>
          <w:i/>
        </w:rPr>
        <w:t>removeBimeraDenovo</w:t>
      </w:r>
      <w:proofErr w:type="spellEnd"/>
      <w:r w:rsidR="00A17066" w:rsidRPr="00087CEE">
        <w:t xml:space="preserve"> function in </w:t>
      </w:r>
      <w:r w:rsidR="00E446A3" w:rsidRPr="00087CEE">
        <w:t xml:space="preserve">DADA2. To further remove any non-specific amplification products and pseudogenes, the ASV’s were aligned against a PHMM of the </w:t>
      </w:r>
      <w:proofErr w:type="spellStart"/>
      <w:r w:rsidR="00E446A3" w:rsidRPr="00087CEE">
        <w:t>folmer</w:t>
      </w:r>
      <w:proofErr w:type="spellEnd"/>
      <w:r w:rsidR="00E446A3" w:rsidRPr="00087CEE">
        <w:t xml:space="preserve"> COI region, and checked for </w:t>
      </w:r>
      <w:r w:rsidR="00200AB7" w:rsidRPr="00087CEE">
        <w:t>frame shifts and stop codons</w:t>
      </w:r>
      <w:r w:rsidR="00E446A3" w:rsidRPr="00087CEE">
        <w:t xml:space="preserve">. </w:t>
      </w:r>
      <w:r w:rsidR="007D0B48" w:rsidRPr="00087CEE">
        <w:t xml:space="preserve">Taxonomy was assigned to the </w:t>
      </w:r>
      <w:r w:rsidR="00C15DB6" w:rsidRPr="00087CEE">
        <w:rPr>
          <w:highlight w:val="yellow"/>
        </w:rPr>
        <w:t>n</w:t>
      </w:r>
      <w:r w:rsidR="007D0B48" w:rsidRPr="00087CEE">
        <w:t xml:space="preserve"> ASVs to the lowest rank possible with a </w:t>
      </w:r>
      <w:r w:rsidR="00C15DB6" w:rsidRPr="00087CEE">
        <w:t xml:space="preserve">minimum confidence of 60 using the IDTAXA algorithm </w:t>
      </w:r>
      <w:r w:rsidR="00C15DB6" w:rsidRPr="00087CEE">
        <w:fldChar w:fldCharType="begin" w:fldLock="1"/>
      </w:r>
      <w:r w:rsidR="00833927" w:rsidRPr="00087CEE">
        <w:instrText>ADDIN CSL_CITATION {"citationItems":[{"id":"ITEM-1","itemData":{"DOI":"10.1186/s40168-018-0521-5","ISSN":"2049-2618","PMID":"30092815","abstract":"Microbiome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author":[{"dropping-particle":"","family":"Murali","given":"Adithya","non-dropping-particle":"","parse-names":false,"suffix":""},{"dropping-particle":"","family":"Bhargava","given":"Aniruddha","non-dropping-particle":"","parse-names":false,"suffix":""},{"dropping-particle":"","family":"Wright","given":"Erik S.","non-dropping-particle":"","parse-names":false,"suffix":""}],"container-title":"Microbiome","id":"ITEM-1","issue":"1","issued":{"date-parts":[["2018"]]},"page":"140","title":"IDTAXA: a novel approach for accurate taxonomic classification of microbiome sequences","type":"article-journal","volume":"6"},"uris":["http://www.mendeley.com/documents/?uuid=89cc63cb-262b-4ac5-9796-7c5318babd6a"]}],"mendeley":{"formattedCitation":"(Murali, Bhargava, &amp; Wright, 2018)","plainTextFormattedCitation":"(Murali, Bhargava, &amp; Wright, 2018)","previouslyFormattedCitation":"(Murali, Bhargava, &amp; Wright, 2018)"},"properties":{"noteIndex":0},"schema":"https://github.com/citation-style-language/schema/raw/master/csl-citation.json"}</w:instrText>
      </w:r>
      <w:r w:rsidR="00C15DB6" w:rsidRPr="00087CEE">
        <w:fldChar w:fldCharType="separate"/>
      </w:r>
      <w:r w:rsidR="00C15DB6" w:rsidRPr="00087CEE">
        <w:rPr>
          <w:noProof/>
        </w:rPr>
        <w:t>(Murali, Bhargava, &amp; Wright, 2018)</w:t>
      </w:r>
      <w:r w:rsidR="00C15DB6" w:rsidRPr="00087CEE">
        <w:fldChar w:fldCharType="end"/>
      </w:r>
      <w:r w:rsidR="005B16C7">
        <w:t xml:space="preserve"> trained on the database of (Piper et al</w:t>
      </w:r>
      <w:r w:rsidR="00433DC2">
        <w:t xml:space="preserve"> 2020</w:t>
      </w:r>
      <w:r w:rsidR="005B16C7">
        <w:t>)</w:t>
      </w:r>
      <w:r w:rsidR="007D0B48" w:rsidRPr="00087CEE">
        <w:t xml:space="preserve">, followed by </w:t>
      </w:r>
      <w:r w:rsidR="0011741B" w:rsidRPr="00087CEE">
        <w:t xml:space="preserve">further </w:t>
      </w:r>
      <w:r w:rsidR="007D0B48" w:rsidRPr="00087CEE">
        <w:t>species level assignment</w:t>
      </w:r>
      <w:r w:rsidR="004D7A8F" w:rsidRPr="00087CEE">
        <w:t xml:space="preserve"> of biological and synthetic </w:t>
      </w:r>
      <w:r w:rsidR="005B16C7">
        <w:t>mock community sequences</w:t>
      </w:r>
      <w:r w:rsidR="0011741B" w:rsidRPr="00087CEE">
        <w:t xml:space="preserve"> </w:t>
      </w:r>
      <w:r w:rsidR="007D0B48" w:rsidRPr="00087CEE">
        <w:t>using exact matching between the query and</w:t>
      </w:r>
      <w:r w:rsidR="005B16C7">
        <w:t xml:space="preserve"> </w:t>
      </w:r>
      <w:r w:rsidR="0011741B" w:rsidRPr="00087CEE">
        <w:t>r</w:t>
      </w:r>
      <w:r w:rsidR="007D0B48" w:rsidRPr="00087CEE">
        <w:t xml:space="preserve">eference </w:t>
      </w:r>
      <w:r w:rsidR="005B16C7">
        <w:t>databases</w:t>
      </w:r>
      <w:r w:rsidR="007D0B48" w:rsidRPr="00087CEE">
        <w:t xml:space="preserve">. </w:t>
      </w:r>
    </w:p>
    <w:p w14:paraId="4E21CC6D" w14:textId="4F427404" w:rsidR="00200AB7" w:rsidRPr="00087CEE" w:rsidRDefault="00200AB7" w:rsidP="00356EA1">
      <w:pPr>
        <w:pStyle w:val="Heading2"/>
      </w:pPr>
      <w:r w:rsidRPr="00087CEE">
        <w:lastRenderedPageBreak/>
        <w:t>Statistical analysis</w:t>
      </w:r>
    </w:p>
    <w:p w14:paraId="077EE24E" w14:textId="769DA694" w:rsidR="00790571" w:rsidRDefault="00CB6749" w:rsidP="00790571">
      <w:r>
        <w:t xml:space="preserve">To </w:t>
      </w:r>
      <w:r w:rsidR="00790571">
        <w:t>determine</w:t>
      </w:r>
      <w:r>
        <w:t xml:space="preserve"> the </w:t>
      </w:r>
      <w:r w:rsidR="00790571">
        <w:t xml:space="preserve">probability of detecting the target species for a given number of replicates, the </w:t>
      </w:r>
      <w:r>
        <w:t xml:space="preserve">Bayesian hierarchical occupancy model of </w:t>
      </w:r>
      <w:r>
        <w:fldChar w:fldCharType="begin" w:fldLock="1"/>
      </w:r>
      <w:r w:rsidR="00433DC2">
        <w:instrText>ADDIN CSL_CITATION {"citationItems":[{"id":"ITEM-1","itemData":{"DOI":"10.1111/rssc.12390","ISSN":"14679876","abstract":"Environmental DNA is a survey tool with rapidly expanding applications for assessing the presence of a species at surveyed sites. Environmental DNA methodology is known to be prone to false negative and false positive errors at the data collection and laboratory analysis stages. Existing models for environmental DNA data require augmentation with additional sources of information to overcome identifiability issues of the likelihood function and do not account for environmental covariates that predict the probability of species presence or the probabilities of error. We present a novel Bayesian model for analysing environmental DNA data by proposing informative prior distributions for logistic regression coefficients that enable us to overcome parameter identifiability, while performing efficient Bayesian variable selection. Our methodology does not require the use of transdimensional algorithms and provides a general framework for performing Bayesian variable selection under informative prior distributions in logistic regression models.","author":[{"dropping-particle":"","family":"Griffin","given":"Jim E.","non-dropping-particle":"","parse-names":false,"suffix":""},{"dropping-particle":"","family":"Matechou","given":"Eleni","non-dropping-particle":"","parse-names":false,"suffix":""},{"dropping-particle":"","family":"Buxton","given":"Andrew S.","non-dropping-particle":"","parse-names":false,"suffix":""},{"dropping-particle":"","family":"Bormpoudakis","given":"Dimitrios","non-dropping-particle":"","parse-names":false,"suffix":""},{"dropping-particle":"","family":"Griffiths","given":"Richard A.","non-dropping-particle":"","parse-names":false,"suffix":""}],"container-title":"Journal of the Royal Statistical Society. Series C: Applied Statistics","id":"ITEM-1","issued":{"date-parts":[["2019"]]},"title":"Modelling environmental DNA data; Bayesian variable selection accounting for false positive and false negative errors","type":"article-journal"},"uris":["http://www.mendeley.com/documents/?uuid=1a94098b-50ab-4d55-a22e-a4b7e0b2b167"]}],"mendeley":{"formattedCitation":"(Griffin, Matechou, Buxton, Bormpoudakis, &amp; Griffiths, 2019)","plainTextFormattedCitation":"(Griffin, Matechou, Buxton, Bormpoudakis, &amp; Griffiths, 2019)","previouslyFormattedCitation":"(Griffin, Matechou, Buxton, Bormpoudakis, &amp; Griffiths, 2019)"},"properties":{"noteIndex":0},"schema":"https://github.com/citation-style-language/schema/raw/master/csl-citation.json"}</w:instrText>
      </w:r>
      <w:r>
        <w:fldChar w:fldCharType="separate"/>
      </w:r>
      <w:r w:rsidRPr="00CB6749">
        <w:rPr>
          <w:noProof/>
        </w:rPr>
        <w:t>(Griffin, Matechou, Buxton, Bormpoudakis, &amp; Griffiths, 2019)</w:t>
      </w:r>
      <w:r>
        <w:fldChar w:fldCharType="end"/>
      </w:r>
      <w:r>
        <w:t xml:space="preserve"> was fit to the dataset, considering </w:t>
      </w:r>
      <w:r w:rsidR="00790571">
        <w:t>each</w:t>
      </w:r>
      <w:r>
        <w:t xml:space="preserve"> sample as the ‘site’ variable. </w:t>
      </w:r>
      <w:r w:rsidR="00790571">
        <w:t>The probability of DNA presence in each extraction given species presence (stage 1 true positive), the probability of DNA presence in each extraction given species absence (stage 1 false positive), and probability of species detection given presence in extraction (stage 2 true positive), and probability of species detection given absence in extraction (stage 2 false positive) was modelled as a function of covariates such as community size, species diversity and trap type.</w:t>
      </w:r>
      <w:r w:rsidR="00790571" w:rsidRPr="00790571">
        <w:t xml:space="preserve"> </w:t>
      </w:r>
      <w:r w:rsidR="00790571">
        <w:t>Bayesian variable selection was used to identify important covariates impacting detection probability at both the DNA extraction, and PCR stages.</w:t>
      </w:r>
      <w:r w:rsidR="00433DC2">
        <w:t xml:space="preserve"> T</w:t>
      </w:r>
      <w:r w:rsidR="00790571">
        <w:t xml:space="preserve">o ascertain the effects of adding additional </w:t>
      </w:r>
      <w:r w:rsidR="00790571" w:rsidRPr="00087CEE">
        <w:t>biological, extraction and PCR replicates</w:t>
      </w:r>
      <w:r w:rsidR="00790571">
        <w:t xml:space="preserve"> for non</w:t>
      </w:r>
      <w:r w:rsidR="00433DC2">
        <w:t>-target species</w:t>
      </w:r>
      <w:r w:rsidR="00790571">
        <w:t>, s</w:t>
      </w:r>
      <w:r w:rsidR="00790571" w:rsidRPr="00087CEE">
        <w:t xml:space="preserve">pecies accumulation curves </w:t>
      </w:r>
      <w:r w:rsidR="00790571">
        <w:t xml:space="preserve">and </w:t>
      </w:r>
      <w:proofErr w:type="spellStart"/>
      <w:r w:rsidR="00790571">
        <w:t>jaccard</w:t>
      </w:r>
      <w:proofErr w:type="spellEnd"/>
      <w:r w:rsidR="00790571">
        <w:t xml:space="preserve"> dissimilarity between replicates were calculated </w:t>
      </w:r>
      <w:r w:rsidR="00790571" w:rsidRPr="00087CEE">
        <w:t xml:space="preserve">using the vegan R package </w:t>
      </w:r>
      <w:r w:rsidR="00790571" w:rsidRPr="00087CEE">
        <w:fldChar w:fldCharType="begin" w:fldLock="1"/>
      </w:r>
      <w:r w:rsidR="00790571" w:rsidRPr="00087CEE">
        <w:instrText>ADDIN CSL_CITATION {"citationItems":[{"id":"ITEM-1","itemData":{"author":[{"dropping-particle":"","family":"Oksanen","given":"Jari","non-dropping-particle":"","parse-names":false,"suffix":""},{"dropping-particle":"","family":"Kindt","given":"Roeland","non-dropping-particle":"","parse-names":false,"suffix":""},{"dropping-particle":"","family":"Legendre","given":"Pierre","non-dropping-particle":"","parse-names":false,"suffix":""},{"dropping-particle":"","family":"O’Hara","given":"Bob","non-dropping-particle":"","parse-names":false,"suffix":""},{"dropping-particle":"","family":"Stevens","given":"M Henry H","non-dropping-particle":"","parse-names":false,"suffix":""},{"dropping-particle":"","family":"Oksanen","given":"Maintainer Jari","non-dropping-particle":"","parse-names":false,"suffix":""},{"dropping-particle":"","family":"Suggests","given":"MASS","non-dropping-particle":"","parse-names":false,"suffix":""}],"container-title":"Community ecology package","id":"ITEM-1","issued":{"date-parts":[["2007"]]},"page":"631-637","title":"The vegan package","type":"article-journal","volume":"10"},"uris":["http://www.mendeley.com/documents/?uuid=3964e8d7-d705-4637-bdb9-2805b1b345c2"]}],"mendeley":{"formattedCitation":"(Oksanen et al., 2007)","plainTextFormattedCitation":"(Oksanen et al., 2007)","previouslyFormattedCitation":"(Oksanen et al., 2007)"},"properties":{"noteIndex":0},"schema":"https://github.com/citation-style-language/schema/raw/master/csl-citation.json"}</w:instrText>
      </w:r>
      <w:r w:rsidR="00790571" w:rsidRPr="00087CEE">
        <w:fldChar w:fldCharType="separate"/>
      </w:r>
      <w:r w:rsidR="00790571" w:rsidRPr="00087CEE">
        <w:rPr>
          <w:noProof/>
        </w:rPr>
        <w:t>(Oksanen et al., 2007)</w:t>
      </w:r>
      <w:r w:rsidR="00790571" w:rsidRPr="00087CEE">
        <w:fldChar w:fldCharType="end"/>
      </w:r>
      <w:r w:rsidR="00790571" w:rsidRPr="00087CEE">
        <w:t xml:space="preserve">. </w:t>
      </w:r>
    </w:p>
    <w:p w14:paraId="7A336A17" w14:textId="3DEF1E7F" w:rsidR="00433DC2" w:rsidRDefault="00E446A3" w:rsidP="00790571">
      <w:r w:rsidRPr="00087CEE">
        <w:t xml:space="preserve">All replicates were then merged together retaining only those ASV’s that were present in at least 2/3 replicates. </w:t>
      </w:r>
    </w:p>
    <w:p w14:paraId="1971B3BF" w14:textId="62EB3E53" w:rsidR="00433DC2" w:rsidRDefault="00433DC2" w:rsidP="00790571">
      <w:r>
        <w:rPr>
          <w:szCs w:val="24"/>
        </w:rPr>
        <w:t xml:space="preserve">Metabarcoding datasets are inherently compositional, meaning all elements in a sample sum to 1, and only the ratios between elements carry meaning.  Compositional datasets violate the assumptions of many standard statistical methods that rely on Euclidean geometry in real space. Therefore </w:t>
      </w:r>
      <w:r>
        <w:t xml:space="preserve">In order to account for compositionality, the bias for each primer was calculated as the difference in log-ratios between each taxa and the samples geometric mean using the </w:t>
      </w:r>
      <w:proofErr w:type="spellStart"/>
      <w:r>
        <w:t>metacal</w:t>
      </w:r>
      <w:proofErr w:type="spellEnd"/>
      <w:r>
        <w:t xml:space="preserve"> R package </w:t>
      </w:r>
      <w:r>
        <w:fldChar w:fldCharType="begin" w:fldLock="1"/>
      </w:r>
      <w:r w:rsidR="002B0DF8">
        <w:instrText>ADDIN CSL_CITATION {"citationItems":[{"id":"ITEM-1","itemData":{"DOI":"10.1101/559831","abstract":"Marker-gene and metagenomic sequencing have profoundly expanded our ability to measure biological communities. But the measurements they provide differ from the truth, often dramatically, because these experiments are biased towards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towards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J","non-dropping-particle":"","parse-names":false,"suffix":""}],"container-title":"bioRxiv","id":"ITEM-1","issued":{"date-parts":[["2019"]]},"page":"559831","title":"Consistent and correctable bias in metagenomic sequencing measurements","type":"article-journal"},"uris":["http://www.mendeley.com/documents/?uuid=0c141184-7c0e-4a03-aef5-ab1636f60ab3"]}],"mendeley":{"formattedCitation":"(McLaren, Willis, &amp; Callahan, 2019)","plainTextFormattedCitation":"(McLaren, Willis, &amp; Callahan, 2019)","previouslyFormattedCitation":"(McLaren, Willis, &amp; Callahan, 2019)"},"properties":{"noteIndex":0},"schema":"https://github.com/citation-style-language/schema/raw/master/csl-citation.json"}</w:instrText>
      </w:r>
      <w:r>
        <w:fldChar w:fldCharType="separate"/>
      </w:r>
      <w:r w:rsidRPr="00433DC2">
        <w:rPr>
          <w:noProof/>
        </w:rPr>
        <w:t>(McLaren, Willis, &amp; Callahan, 2019)</w:t>
      </w:r>
      <w:r>
        <w:fldChar w:fldCharType="end"/>
      </w:r>
      <w:r>
        <w:t xml:space="preserve">. </w:t>
      </w:r>
    </w:p>
    <w:p w14:paraId="09431202" w14:textId="473292B8" w:rsidR="00790571" w:rsidRPr="00087CEE" w:rsidRDefault="00790571" w:rsidP="00790571">
      <w:r w:rsidRPr="00087CEE">
        <w:lastRenderedPageBreak/>
        <w:t xml:space="preserve">Species richness, species evenness and faiths phylogenetic diversity was calculated for </w:t>
      </w:r>
      <w:r>
        <w:t>each</w:t>
      </w:r>
      <w:r w:rsidRPr="00087CEE">
        <w:t xml:space="preserve"> trapped communit</w:t>
      </w:r>
      <w:r>
        <w:t>y using the picante R package</w:t>
      </w:r>
      <w:r w:rsidRPr="00087CEE">
        <w:t>. Association between tips of the phylogeny and covariates such as trap.</w:t>
      </w:r>
    </w:p>
    <w:p w14:paraId="103B0069" w14:textId="6F7D7B17" w:rsidR="00200AB7" w:rsidRPr="00087CEE" w:rsidRDefault="00200AB7" w:rsidP="00356EA1">
      <w:r w:rsidRPr="00087CEE">
        <w:t xml:space="preserve">Further analysis and plotting of the final ASV table was conducted using </w:t>
      </w:r>
      <w:proofErr w:type="spellStart"/>
      <w:r w:rsidRPr="00087CEE">
        <w:t>Phyloseq</w:t>
      </w:r>
      <w:proofErr w:type="spellEnd"/>
      <w:r w:rsidRPr="00087CEE">
        <w:t xml:space="preserve"> </w:t>
      </w:r>
      <w:r w:rsidRPr="00087CEE">
        <w:fldChar w:fldCharType="begin" w:fldLock="1"/>
      </w:r>
      <w:r w:rsidRPr="00087CEE">
        <w:instrText>ADDIN CSL_CITATION {"citationItems":[{"id":"ITEM-1","itemData":{"DOI":"10.1371/journal.pone.0061217","ISBN":"1932-6203 (Electronic)\\r1932-6203 (Linking)","ISSN":"19326203","PMID":"23630581","abstract":"BACKGROUND: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research.\\n\\nCONCLUSIONS: The phyloseq project for R is a new open-source software package, freely available on the web from both GitHub and Bioconductor.","author":[{"dropping-particle":"","family":"McMurdie","given":"Paul J.","non-dropping-particle":"","parse-names":false,"suffix":""},{"dropping-particle":"","family":"Holmes","given":"Susan","non-dropping-particle":"","parse-names":false,"suffix":""}],"container-title":"PLoS ONE","id":"ITEM-1","issue":"4","issued":{"date-parts":[["2013"]]},"title":"Phyloseq: An R Package for Reproducible Interactive Analysis and Graphics of Microbiome Census Data","type":"article-journal","volume":"8"},"uris":["http://www.mendeley.com/documents/?uuid=a3936971-30ee-4c85-8f9f-c49422806e79"]}],"mendeley":{"formattedCitation":"(McMurdie &amp; Holmes, 2013)","plainTextFormattedCitation":"(McMurdie &amp; Holmes, 2013)","previouslyFormattedCitation":"(McMurdie &amp; Holmes, 2013)"},"properties":{"noteIndex":0},"schema":"https://github.com/citation-style-language/schema/raw/master/csl-citation.json"}</w:instrText>
      </w:r>
      <w:r w:rsidRPr="00087CEE">
        <w:fldChar w:fldCharType="separate"/>
      </w:r>
      <w:r w:rsidRPr="00087CEE">
        <w:rPr>
          <w:noProof/>
        </w:rPr>
        <w:t>(McMurdie &amp; Holmes, 2013)</w:t>
      </w:r>
      <w:r w:rsidRPr="00087CEE">
        <w:fldChar w:fldCharType="end"/>
      </w:r>
      <w:r w:rsidRPr="00087CEE">
        <w:t xml:space="preserve"> and </w:t>
      </w:r>
      <w:proofErr w:type="spellStart"/>
      <w:r w:rsidRPr="00087CEE">
        <w:t>tidyverse</w:t>
      </w:r>
      <w:proofErr w:type="spellEnd"/>
      <w:r w:rsidRPr="00087CEE">
        <w:t xml:space="preserve"> packages </w:t>
      </w:r>
      <w:r w:rsidRPr="00087CEE">
        <w:fldChar w:fldCharType="begin" w:fldLock="1"/>
      </w:r>
      <w:r w:rsidRPr="00087CEE">
        <w:instrText>ADDIN CSL_CITATION {"citationItems":[{"id":"ITEM-1","itemData":{"author":[{"dropping-particle":"","family":"Wickham","given":"Hadley","non-dropping-particle":"","parse-names":false,"suffix":""}],"container-title":"R package ver. 1.1. 1","id":"ITEM-1","issued":{"date-parts":[["2017"]]},"title":"The tidyverse","type":"article-journal"},"uris":["http://www.mendeley.com/documents/?uuid=0f2ebb6d-15bd-4a18-a7d4-a9e9a2e2111d"]}],"mendeley":{"formattedCitation":"(Wickham, 2017)","plainTextFormattedCitation":"(Wickham, 2017)","previouslyFormattedCitation":"(Wickham, 2017)"},"properties":{"noteIndex":0},"schema":"https://github.com/citation-style-language/schema/raw/master/csl-citation.json"}</w:instrText>
      </w:r>
      <w:r w:rsidRPr="00087CEE">
        <w:fldChar w:fldCharType="separate"/>
      </w:r>
      <w:r w:rsidRPr="00087CEE">
        <w:rPr>
          <w:noProof/>
        </w:rPr>
        <w:t>(Wickham, 2017)</w:t>
      </w:r>
      <w:r w:rsidRPr="00087CEE">
        <w:fldChar w:fldCharType="end"/>
      </w:r>
      <w:r w:rsidRPr="00087CEE">
        <w:t xml:space="preserve">. </w:t>
      </w:r>
    </w:p>
    <w:p w14:paraId="73100229" w14:textId="3AE76E15" w:rsidR="005B16C7" w:rsidRPr="005B16C7" w:rsidRDefault="005B16C7" w:rsidP="00356EA1">
      <w:pPr>
        <w:pStyle w:val="Heading2"/>
      </w:pPr>
      <w:r w:rsidRPr="005B16C7">
        <w:t>Confirmation of metabarcoding detections</w:t>
      </w:r>
    </w:p>
    <w:p w14:paraId="70B72692" w14:textId="6B241550" w:rsidR="00881D16" w:rsidRPr="00356EA1" w:rsidRDefault="00881D16" w:rsidP="00356EA1">
      <w:pPr>
        <w:pStyle w:val="Heading1"/>
      </w:pPr>
      <w:r w:rsidRPr="00356EA1">
        <w:t>Results</w:t>
      </w:r>
    </w:p>
    <w:p w14:paraId="0F47F71B" w14:textId="530964A8" w:rsidR="00A74A21" w:rsidRDefault="00A74A21" w:rsidP="00356EA1">
      <w:pPr>
        <w:spacing w:after="160"/>
        <w:rPr>
          <w:i/>
        </w:rPr>
      </w:pPr>
      <w:r>
        <w:rPr>
          <w:i/>
        </w:rPr>
        <w:t>Sequencing results</w:t>
      </w:r>
      <w:r w:rsidR="00F7177B">
        <w:rPr>
          <w:i/>
        </w:rPr>
        <w:t xml:space="preserve"> &amp; Comparison between platforms</w:t>
      </w:r>
    </w:p>
    <w:p w14:paraId="78ABA55F" w14:textId="47AAEDF6" w:rsidR="00F7177B" w:rsidRDefault="00F7177B" w:rsidP="005C2213">
      <w:r>
        <w:t xml:space="preserve">3 </w:t>
      </w:r>
      <w:proofErr w:type="spellStart"/>
      <w:r>
        <w:t>miseq</w:t>
      </w:r>
      <w:proofErr w:type="spellEnd"/>
      <w:r>
        <w:t xml:space="preserve"> runs, producing </w:t>
      </w:r>
      <w:r w:rsidRPr="00F7177B">
        <w:rPr>
          <w:highlight w:val="yellow"/>
        </w:rPr>
        <w:t>n</w:t>
      </w:r>
      <w:r>
        <w:t xml:space="preserve">, </w:t>
      </w:r>
      <w:r w:rsidRPr="00F7177B">
        <w:rPr>
          <w:highlight w:val="yellow"/>
        </w:rPr>
        <w:t>n</w:t>
      </w:r>
      <w:r>
        <w:t xml:space="preserve"> and </w:t>
      </w:r>
      <w:r w:rsidRPr="00F7177B">
        <w:rPr>
          <w:highlight w:val="yellow"/>
        </w:rPr>
        <w:t>n</w:t>
      </w:r>
      <w:r>
        <w:t xml:space="preserve"> reads passing filter. In addition, a </w:t>
      </w:r>
      <w:proofErr w:type="spellStart"/>
      <w:r>
        <w:t>novaseq</w:t>
      </w:r>
      <w:proofErr w:type="spellEnd"/>
      <w:r>
        <w:t xml:space="preserve"> S2 </w:t>
      </w:r>
      <w:proofErr w:type="spellStart"/>
      <w:r>
        <w:t>flowcell</w:t>
      </w:r>
      <w:proofErr w:type="spellEnd"/>
      <w:r>
        <w:t xml:space="preserve"> lane producing </w:t>
      </w:r>
      <w:r w:rsidRPr="00F7177B">
        <w:rPr>
          <w:highlight w:val="yellow"/>
        </w:rPr>
        <w:t>n</w:t>
      </w:r>
      <w:r>
        <w:t xml:space="preserve"> reads. The number of reads passing all filtering stages can be seen in </w:t>
      </w:r>
      <w:r w:rsidRPr="00F7177B">
        <w:rPr>
          <w:highlight w:val="yellow"/>
        </w:rPr>
        <w:t>supplementary figure n.</w:t>
      </w:r>
      <w:r>
        <w:t xml:space="preserve"> </w:t>
      </w:r>
      <w:r w:rsidR="005C2213">
        <w:t>A</w:t>
      </w:r>
      <w:r>
        <w:t xml:space="preserve"> total </w:t>
      </w:r>
      <w:r w:rsidR="005C2213">
        <w:t>o</w:t>
      </w:r>
      <w:r>
        <w:t xml:space="preserve">f </w:t>
      </w:r>
      <w:r w:rsidRPr="00F7177B">
        <w:rPr>
          <w:highlight w:val="yellow"/>
        </w:rPr>
        <w:t>n</w:t>
      </w:r>
      <w:r>
        <w:t xml:space="preserve"> A</w:t>
      </w:r>
      <w:r w:rsidR="00A74A21">
        <w:t>SV’s</w:t>
      </w:r>
      <w:r w:rsidR="005C2213">
        <w:t xml:space="preserve"> were inferred by DADA2 across the whole run, using pseudo-pooling for increased sensitivity to rare variants. </w:t>
      </w:r>
      <w:r w:rsidR="00A74A21">
        <w:t>number removed</w:t>
      </w:r>
    </w:p>
    <w:p w14:paraId="0377DC33" w14:textId="0C2D402B" w:rsidR="005C2213" w:rsidRDefault="005C2213" w:rsidP="005C2213">
      <w:r>
        <w:t xml:space="preserve">While this filtering removed </w:t>
      </w:r>
      <w:proofErr w:type="gramStart"/>
      <w:r>
        <w:t>a large number of</w:t>
      </w:r>
      <w:proofErr w:type="gramEnd"/>
      <w:r>
        <w:t xml:space="preserve"> unique sequence variants, the overall abundance of bad sequences was low (</w:t>
      </w:r>
      <w:r w:rsidRPr="00F7177B">
        <w:rPr>
          <w:highlight w:val="yellow"/>
        </w:rPr>
        <w:t>supplementary figure n</w:t>
      </w:r>
      <w:r>
        <w:t xml:space="preserve">). </w:t>
      </w:r>
    </w:p>
    <w:p w14:paraId="5868A68C" w14:textId="6041E487" w:rsidR="00A74A21" w:rsidRDefault="00A74A21" w:rsidP="00A74A21">
      <w:r>
        <w:t xml:space="preserve">Higher proportions removed from </w:t>
      </w:r>
      <w:proofErr w:type="spellStart"/>
      <w:r w:rsidR="00F7177B">
        <w:t>NovaSeq</w:t>
      </w:r>
      <w:proofErr w:type="spellEnd"/>
      <w:r>
        <w:t xml:space="preserve">, which could </w:t>
      </w:r>
      <w:r w:rsidR="00F7177B">
        <w:t>reflect the issue of robustly modelling error rates with binned quality scores, or overconfidence in G’s.</w:t>
      </w:r>
    </w:p>
    <w:p w14:paraId="2C013A09" w14:textId="04C1A260" w:rsidR="00A74A21" w:rsidRPr="00A74A21" w:rsidRDefault="00A74A21" w:rsidP="00A74A21">
      <w:r>
        <w:t>Top hit identity distribution from BLAST search between cleaned ASV’s and reference database, compared to IDTAXA classification with confidence threshold 60</w:t>
      </w:r>
    </w:p>
    <w:p w14:paraId="261BE5BE" w14:textId="77777777" w:rsidR="00A74A21" w:rsidRPr="00A74A21" w:rsidRDefault="00A74A21" w:rsidP="00356EA1">
      <w:pPr>
        <w:spacing w:after="160"/>
        <w:rPr>
          <w:iCs/>
        </w:rPr>
      </w:pPr>
    </w:p>
    <w:p w14:paraId="67CA097D" w14:textId="20343E55" w:rsidR="00CA4711" w:rsidRPr="00087CEE" w:rsidRDefault="00356EA1" w:rsidP="00356EA1">
      <w:pPr>
        <w:spacing w:after="160"/>
        <w:rPr>
          <w:i/>
        </w:rPr>
      </w:pPr>
      <w:r>
        <w:rPr>
          <w:i/>
        </w:rPr>
        <w:t>Evaluation against mock communities</w:t>
      </w:r>
    </w:p>
    <w:p w14:paraId="78763368" w14:textId="7E255B81" w:rsidR="009C07D8" w:rsidRPr="00087CEE" w:rsidRDefault="009C07D8" w:rsidP="00356EA1">
      <w:pPr>
        <w:spacing w:after="160"/>
      </w:pPr>
      <w:r w:rsidRPr="00087CEE">
        <w:lastRenderedPageBreak/>
        <w:t xml:space="preserve">This run identified remarkably high levels of index switching (supplementary n), perhaps arising from too much DNA causing </w:t>
      </w:r>
      <w:proofErr w:type="spellStart"/>
      <w:r w:rsidRPr="00087CEE">
        <w:t>overcycling</w:t>
      </w:r>
      <w:proofErr w:type="spellEnd"/>
      <w:r w:rsidRPr="00087CEE">
        <w:t xml:space="preserve"> or bubble products. Nevertheless, the results seem </w:t>
      </w:r>
      <w:proofErr w:type="gramStart"/>
      <w:r w:rsidRPr="00087CEE">
        <w:t>sound?</w:t>
      </w:r>
      <w:proofErr w:type="gramEnd"/>
      <w:r w:rsidRPr="00087CEE">
        <w:t xml:space="preserve"> </w:t>
      </w:r>
    </w:p>
    <w:p w14:paraId="2753567E" w14:textId="0A9C703F" w:rsidR="009C07D8" w:rsidRPr="00087CEE" w:rsidRDefault="00A432FB" w:rsidP="00356EA1">
      <w:pPr>
        <w:spacing w:after="160"/>
        <w:rPr>
          <w:i/>
        </w:rPr>
      </w:pPr>
      <w:r w:rsidRPr="00087CEE">
        <w:rPr>
          <w:i/>
        </w:rPr>
        <w:t xml:space="preserve">Evaluation of index switching using synthetic </w:t>
      </w:r>
      <w:r w:rsidR="004D7A8F" w:rsidRPr="00087CEE">
        <w:rPr>
          <w:i/>
        </w:rPr>
        <w:t>mock community positive control</w:t>
      </w:r>
    </w:p>
    <w:p w14:paraId="7BDD8DDE" w14:textId="66B59D0F" w:rsidR="00CB324B" w:rsidRPr="00087CEE" w:rsidRDefault="00CB324B" w:rsidP="00356EA1">
      <w:pPr>
        <w:spacing w:after="160"/>
      </w:pPr>
      <w:r w:rsidRPr="00087CEE">
        <w:t>Resulting synthetic sequences varied for 88-92% similarity to any other sequence of the NCBI nucleotide database</w:t>
      </w:r>
      <w:r w:rsidR="00A432FB" w:rsidRPr="00087CEE">
        <w:t xml:space="preserve">. </w:t>
      </w:r>
      <w:proofErr w:type="gramStart"/>
      <w:r w:rsidR="00A432FB" w:rsidRPr="00087CEE">
        <w:t>This  arrived</w:t>
      </w:r>
      <w:proofErr w:type="gramEnd"/>
      <w:r w:rsidR="00A432FB" w:rsidRPr="00087CEE">
        <w:t xml:space="preserve"> on an index switch rate of .. compared to other methods of index switching which include looking at the ratio of switched to unswitched reads.</w:t>
      </w:r>
    </w:p>
    <w:p w14:paraId="60572BF4" w14:textId="32DFFADA" w:rsidR="00CC7405" w:rsidRPr="00087CEE" w:rsidRDefault="00CC7405" w:rsidP="00356EA1">
      <w:pPr>
        <w:spacing w:after="160"/>
      </w:pPr>
      <w:r w:rsidRPr="00087CEE">
        <w:rPr>
          <w:i/>
        </w:rPr>
        <w:t>In-vitro evaluation of primer sets against trapped communities</w:t>
      </w:r>
    </w:p>
    <w:p w14:paraId="366127C8" w14:textId="7263B512" w:rsidR="00753A97" w:rsidRPr="00087CEE" w:rsidRDefault="00753A97" w:rsidP="00356EA1">
      <w:pPr>
        <w:spacing w:after="160"/>
        <w:rPr>
          <w:i/>
        </w:rPr>
      </w:pPr>
      <w:r w:rsidRPr="00087CEE">
        <w:rPr>
          <w:i/>
        </w:rPr>
        <w:t xml:space="preserve">Influence of </w:t>
      </w:r>
      <w:r w:rsidR="00CC7405" w:rsidRPr="00087CEE">
        <w:rPr>
          <w:i/>
        </w:rPr>
        <w:t xml:space="preserve">sequencing platform, </w:t>
      </w:r>
      <w:r w:rsidRPr="00087CEE">
        <w:rPr>
          <w:i/>
        </w:rPr>
        <w:t>depth and replicat</w:t>
      </w:r>
      <w:r w:rsidR="00CC7405" w:rsidRPr="00087CEE">
        <w:rPr>
          <w:i/>
        </w:rPr>
        <w:t>ion</w:t>
      </w:r>
      <w:r w:rsidRPr="00087CEE">
        <w:rPr>
          <w:i/>
        </w:rPr>
        <w:t xml:space="preserve"> on detection probability</w:t>
      </w:r>
    </w:p>
    <w:p w14:paraId="39B02252" w14:textId="7FE344CB" w:rsidR="00A432FB" w:rsidRPr="00087CEE" w:rsidRDefault="00753A97" w:rsidP="00356EA1">
      <w:pPr>
        <w:spacing w:after="160"/>
      </w:pPr>
      <w:r w:rsidRPr="00087CEE">
        <w:t xml:space="preserve">Species accumulation curves for adding PCR replicates, extraction replicates, or more traps for the field samples. Showing more traps are much better than replication. Link this in with </w:t>
      </w:r>
      <w:proofErr w:type="spellStart"/>
      <w:r w:rsidRPr="00087CEE">
        <w:t>venn</w:t>
      </w:r>
      <w:proofErr w:type="spellEnd"/>
      <w:r w:rsidRPr="00087CEE">
        <w:t xml:space="preserve"> diagrams</w:t>
      </w:r>
      <w:r w:rsidR="00FA5BD2" w:rsidRPr="00087CEE">
        <w:t xml:space="preserve"> showing overlap in taxa between </w:t>
      </w:r>
      <w:proofErr w:type="spellStart"/>
      <w:r w:rsidR="00FA5BD2" w:rsidRPr="00087CEE">
        <w:t>replicatess</w:t>
      </w:r>
      <w:proofErr w:type="spellEnd"/>
    </w:p>
    <w:p w14:paraId="6378904E" w14:textId="2EF0081A" w:rsidR="00C80080" w:rsidRPr="00087CEE" w:rsidRDefault="00A432FB" w:rsidP="00356EA1">
      <w:pPr>
        <w:spacing w:after="160"/>
        <w:rPr>
          <w:b/>
        </w:rPr>
      </w:pPr>
      <w:r w:rsidRPr="00087CEE">
        <w:rPr>
          <w:b/>
        </w:rPr>
        <w:t>Discussion</w:t>
      </w:r>
    </w:p>
    <w:p w14:paraId="7DF88B22" w14:textId="60205BBE" w:rsidR="00E30F00" w:rsidRDefault="00E30F00" w:rsidP="00356EA1">
      <w:pPr>
        <w:pStyle w:val="ListParagraph"/>
        <w:numPr>
          <w:ilvl w:val="0"/>
          <w:numId w:val="12"/>
        </w:numPr>
        <w:spacing w:after="160"/>
      </w:pPr>
      <w:r>
        <w:t xml:space="preserve">Comparison between primers. Both fwhF2-fwhR2n, and fwhF2-HexCOIR4 performed well in both bias and community characterisation. fwhF2-fwhR2n was chosen for the rest of the study due to the favourable bias profile towards the target species and the fact it has been previously used in </w:t>
      </w:r>
      <w:proofErr w:type="gramStart"/>
      <w:r>
        <w:t>a number of</w:t>
      </w:r>
      <w:proofErr w:type="gramEnd"/>
      <w:r>
        <w:t xml:space="preserve"> studies and shown promising results. The Sauron878-HexCOIR4 combination showed off target amplification of fungal sequences, and therefore was not chosen for further validation. This is most likely due to the high degeneracy. BF1-BR1 while not showing major problems, has less </w:t>
      </w:r>
      <w:proofErr w:type="spellStart"/>
      <w:r>
        <w:t>consistant</w:t>
      </w:r>
      <w:proofErr w:type="spellEnd"/>
      <w:r>
        <w:t xml:space="preserve"> bias that the fwhF2-fwhR2n</w:t>
      </w:r>
    </w:p>
    <w:p w14:paraId="760465F4" w14:textId="3BF69680" w:rsidR="00A432FB" w:rsidRDefault="00A432FB" w:rsidP="00356EA1">
      <w:pPr>
        <w:pStyle w:val="ListParagraph"/>
        <w:numPr>
          <w:ilvl w:val="0"/>
          <w:numId w:val="12"/>
        </w:numPr>
        <w:spacing w:after="160"/>
      </w:pPr>
      <w:r w:rsidRPr="00087CEE">
        <w:lastRenderedPageBreak/>
        <w:t>In vitro validation allowed successful detection of target drosophila species in both mock communities and background</w:t>
      </w:r>
      <w:r w:rsidR="00903C10">
        <w:t>. How did it go for quantification?</w:t>
      </w:r>
    </w:p>
    <w:p w14:paraId="647D68CC" w14:textId="77777777" w:rsidR="00DD4490" w:rsidRDefault="00DD4490" w:rsidP="00903C10">
      <w:pPr>
        <w:pStyle w:val="ListParagraph"/>
        <w:numPr>
          <w:ilvl w:val="0"/>
          <w:numId w:val="12"/>
        </w:numPr>
        <w:spacing w:after="160"/>
      </w:pPr>
      <w:r>
        <w:t xml:space="preserve">When extra tags were incorporated into the primers it did not significantly increase bias. </w:t>
      </w:r>
    </w:p>
    <w:p w14:paraId="25A4BC69" w14:textId="3BE89ABF" w:rsidR="00903C10" w:rsidRDefault="00903C10" w:rsidP="00903C10">
      <w:pPr>
        <w:pStyle w:val="ListParagraph"/>
        <w:numPr>
          <w:ilvl w:val="0"/>
          <w:numId w:val="12"/>
        </w:numPr>
        <w:spacing w:after="160"/>
      </w:pPr>
      <w:r>
        <w:t>Replicate similarity</w:t>
      </w:r>
      <w:r w:rsidR="00DD4490">
        <w:t xml:space="preserve"> between PCR replicates</w:t>
      </w:r>
      <w:r>
        <w:t xml:space="preserve"> was high, indicating more biological replicates is more important</w:t>
      </w:r>
      <w:r w:rsidR="00DD4490">
        <w:t xml:space="preserve">. On the other </w:t>
      </w:r>
      <w:proofErr w:type="gramStart"/>
      <w:r w:rsidR="00DD4490">
        <w:t>hand</w:t>
      </w:r>
      <w:proofErr w:type="gramEnd"/>
      <w:r w:rsidR="00DD4490">
        <w:t xml:space="preserve"> there was some difference in extraction replicates. </w:t>
      </w:r>
    </w:p>
    <w:p w14:paraId="52F64F22" w14:textId="6C5D6ED1" w:rsidR="00DD4490" w:rsidRDefault="00DD4490" w:rsidP="00DD4490">
      <w:pPr>
        <w:pStyle w:val="ListParagraph"/>
        <w:numPr>
          <w:ilvl w:val="0"/>
          <w:numId w:val="12"/>
        </w:numPr>
        <w:spacing w:after="160"/>
      </w:pPr>
      <w:r>
        <w:t>R</w:t>
      </w:r>
      <w:r w:rsidRPr="00087CEE">
        <w:t>eplicates and synthetic positive control suggest</w:t>
      </w:r>
      <w:r>
        <w:t xml:space="preserve"> that</w:t>
      </w:r>
      <w:r w:rsidRPr="00087CEE">
        <w:t xml:space="preserve"> </w:t>
      </w:r>
      <w:r>
        <w:t xml:space="preserve">this </w:t>
      </w:r>
      <w:r w:rsidRPr="00087CEE">
        <w:t>cross contamination</w:t>
      </w:r>
      <w:r>
        <w:t xml:space="preserve"> was</w:t>
      </w:r>
      <w:r w:rsidRPr="00087CEE">
        <w:t xml:space="preserve"> introduced prior to PCR.</w:t>
      </w:r>
      <w:r>
        <w:t xml:space="preserve"> It would be nice to use synthetic spike ins into each sample to allow better detection of cross contamination or sample switching events. </w:t>
      </w:r>
      <w:r w:rsidRPr="00087CEE">
        <w:t xml:space="preserve">Worth replicating at the DNA extraction stage rather than PCR replicates. Better would be more traps </w:t>
      </w:r>
      <w:proofErr w:type="gramStart"/>
      <w:r w:rsidRPr="00087CEE">
        <w:t>In</w:t>
      </w:r>
      <w:proofErr w:type="gramEnd"/>
      <w:r w:rsidRPr="00087CEE">
        <w:t xml:space="preserve"> the field as this would increase detection probability much higher. With move to higher throughput sequencers read depth is becoming less of a problem.</w:t>
      </w:r>
    </w:p>
    <w:p w14:paraId="7409BE5D" w14:textId="25921BE8" w:rsidR="00903C10" w:rsidRPr="00087CEE" w:rsidRDefault="00903C10" w:rsidP="00903C10">
      <w:pPr>
        <w:pStyle w:val="ListParagraph"/>
        <w:numPr>
          <w:ilvl w:val="0"/>
          <w:numId w:val="12"/>
        </w:numPr>
        <w:spacing w:after="160"/>
      </w:pPr>
      <w:r>
        <w:t xml:space="preserve">For </w:t>
      </w:r>
      <w:r w:rsidR="00E30F00">
        <w:t xml:space="preserve">the field samples, the samples using the DC lure failed completely, and so did many of the apple cider vinegar. On the other hand, the traps that caught insects into propylene glycol </w:t>
      </w:r>
      <w:proofErr w:type="spellStart"/>
      <w:r w:rsidR="00E30F00">
        <w:t>adequatelty</w:t>
      </w:r>
      <w:proofErr w:type="spellEnd"/>
      <w:r w:rsidR="00E30F00">
        <w:t xml:space="preserve"> preserved the specimens.</w:t>
      </w:r>
    </w:p>
    <w:p w14:paraId="1583FACA" w14:textId="509B0B3D" w:rsidR="00A432FB" w:rsidRDefault="00A432FB" w:rsidP="00356EA1">
      <w:pPr>
        <w:pStyle w:val="ListParagraph"/>
        <w:numPr>
          <w:ilvl w:val="0"/>
          <w:numId w:val="12"/>
        </w:numPr>
        <w:spacing w:after="160"/>
      </w:pPr>
      <w:proofErr w:type="spellStart"/>
      <w:r w:rsidRPr="00087CEE">
        <w:t>Novaseq</w:t>
      </w:r>
      <w:proofErr w:type="spellEnd"/>
      <w:r w:rsidRPr="00087CEE">
        <w:t xml:space="preserve"> introduces extra problems compared to </w:t>
      </w:r>
      <w:proofErr w:type="spellStart"/>
      <w:r w:rsidRPr="00087CEE">
        <w:t>miseq</w:t>
      </w:r>
      <w:proofErr w:type="spellEnd"/>
      <w:r w:rsidRPr="00087CEE">
        <w:t xml:space="preserve"> – including binned error rates and poly Gs being inserted</w:t>
      </w:r>
    </w:p>
    <w:p w14:paraId="670B0863" w14:textId="56EB01F6" w:rsidR="00C80080" w:rsidRDefault="00C80080" w:rsidP="00356EA1">
      <w:pPr>
        <w:pStyle w:val="ListParagraph"/>
        <w:numPr>
          <w:ilvl w:val="0"/>
          <w:numId w:val="12"/>
        </w:numPr>
        <w:spacing w:after="160"/>
      </w:pPr>
      <w:r>
        <w:t xml:space="preserve">Future – this could be expanded to </w:t>
      </w:r>
      <w:proofErr w:type="gramStart"/>
      <w:r>
        <w:t>other</w:t>
      </w:r>
      <w:proofErr w:type="gramEnd"/>
      <w:r>
        <w:t xml:space="preserve"> emerging pest </w:t>
      </w:r>
      <w:proofErr w:type="spellStart"/>
      <w:r>
        <w:t>drosophilids</w:t>
      </w:r>
      <w:proofErr w:type="spellEnd"/>
      <w:r>
        <w:t xml:space="preserve"> such as </w:t>
      </w:r>
      <w:proofErr w:type="spellStart"/>
      <w:r w:rsidRPr="00C23635">
        <w:rPr>
          <w:i/>
          <w:iCs/>
        </w:rPr>
        <w:t>Zaprionus</w:t>
      </w:r>
      <w:proofErr w:type="spellEnd"/>
      <w:r w:rsidRPr="00C23635">
        <w:rPr>
          <w:i/>
          <w:iCs/>
        </w:rPr>
        <w:t xml:space="preserve"> </w:t>
      </w:r>
      <w:proofErr w:type="spellStart"/>
      <w:r w:rsidRPr="00C23635">
        <w:rPr>
          <w:i/>
          <w:iCs/>
        </w:rPr>
        <w:t>indianus</w:t>
      </w:r>
      <w:proofErr w:type="spellEnd"/>
      <w:r>
        <w:t xml:space="preserve">, </w:t>
      </w:r>
      <w:proofErr w:type="spellStart"/>
      <w:r w:rsidRPr="00C23635">
        <w:rPr>
          <w:i/>
          <w:iCs/>
        </w:rPr>
        <w:t>Zaprionus</w:t>
      </w:r>
      <w:proofErr w:type="spellEnd"/>
      <w:r w:rsidRPr="00C23635">
        <w:rPr>
          <w:i/>
          <w:iCs/>
        </w:rPr>
        <w:t xml:space="preserve"> </w:t>
      </w:r>
      <w:proofErr w:type="spellStart"/>
      <w:r w:rsidRPr="00C23635">
        <w:rPr>
          <w:i/>
          <w:iCs/>
        </w:rPr>
        <w:t>tuberculatus</w:t>
      </w:r>
      <w:proofErr w:type="spellEnd"/>
      <w:r>
        <w:t xml:space="preserve"> </w:t>
      </w:r>
      <w:r w:rsidR="00C23635">
        <w:t xml:space="preserve">and </w:t>
      </w:r>
      <w:proofErr w:type="spellStart"/>
      <w:r w:rsidR="00C23635" w:rsidRPr="00C23635">
        <w:rPr>
          <w:i/>
          <w:iCs/>
        </w:rPr>
        <w:t>Chymomyza</w:t>
      </w:r>
      <w:proofErr w:type="spellEnd"/>
      <w:r w:rsidR="00C23635" w:rsidRPr="00C23635">
        <w:rPr>
          <w:i/>
          <w:iCs/>
        </w:rPr>
        <w:t xml:space="preserve"> </w:t>
      </w:r>
      <w:proofErr w:type="spellStart"/>
      <w:r w:rsidR="00C23635" w:rsidRPr="00C23635">
        <w:rPr>
          <w:i/>
          <w:iCs/>
        </w:rPr>
        <w:t>amoena</w:t>
      </w:r>
      <w:proofErr w:type="spellEnd"/>
      <w:r w:rsidR="00C23635">
        <w:t>.</w:t>
      </w:r>
    </w:p>
    <w:p w14:paraId="10B70BAB" w14:textId="726626AE" w:rsidR="00C23635" w:rsidRDefault="00C23635" w:rsidP="00356EA1">
      <w:pPr>
        <w:pStyle w:val="ListParagraph"/>
        <w:numPr>
          <w:ilvl w:val="0"/>
          <w:numId w:val="12"/>
        </w:numPr>
        <w:spacing w:after="160"/>
      </w:pPr>
      <w:r>
        <w:t xml:space="preserve">While we have specifically validated this assay for detection of flies </w:t>
      </w:r>
      <w:proofErr w:type="gramStart"/>
      <w:r>
        <w:t>In</w:t>
      </w:r>
      <w:proofErr w:type="gramEnd"/>
      <w:r>
        <w:t xml:space="preserve"> the drosophila </w:t>
      </w:r>
      <w:proofErr w:type="spellStart"/>
      <w:r>
        <w:t>suzukii</w:t>
      </w:r>
      <w:proofErr w:type="spellEnd"/>
      <w:r>
        <w:t xml:space="preserve"> complex, the primers are universal and can be used well beyond this (Piper et al 2020)</w:t>
      </w:r>
    </w:p>
    <w:p w14:paraId="5C76D8B3" w14:textId="198BB4B1" w:rsidR="00C23635" w:rsidRDefault="00C23635" w:rsidP="00356EA1">
      <w:pPr>
        <w:pStyle w:val="ListParagraph"/>
        <w:numPr>
          <w:ilvl w:val="0"/>
          <w:numId w:val="12"/>
        </w:numPr>
        <w:spacing w:after="160"/>
      </w:pPr>
      <w:proofErr w:type="gramStart"/>
      <w:r>
        <w:lastRenderedPageBreak/>
        <w:t>Similarly</w:t>
      </w:r>
      <w:proofErr w:type="gramEnd"/>
      <w:r>
        <w:t xml:space="preserve"> metabarcoding allows the targeting of diverse gene regions for purposes beyond taxonomic assessment. An approach like this could be used in concert with novel pest control strategies. For example, inclusion of primers targeting the </w:t>
      </w:r>
      <w:proofErr w:type="spellStart"/>
      <w:r>
        <w:t>medea</w:t>
      </w:r>
      <w:proofErr w:type="spellEnd"/>
      <w:r>
        <w:t xml:space="preserve"> element could allow monitoring of the spread of a </w:t>
      </w:r>
      <w:proofErr w:type="spellStart"/>
      <w:r>
        <w:t>medea</w:t>
      </w:r>
      <w:proofErr w:type="spellEnd"/>
      <w:r>
        <w:t xml:space="preserve"> based gene drive </w:t>
      </w:r>
      <w:r>
        <w:fldChar w:fldCharType="begin" w:fldLock="1"/>
      </w:r>
      <w:r w:rsidR="00903C10">
        <w:instrText>ADDIN CSL_CITATION {"citationItems":[{"id":"ITEM-1","itemData":{"DOI":"10.1073/pnas.1713139115","ISSN":"0027-8424","PMID":"29666236","abstract":"Here we describe a fully functional gene drive system constructed in a major worldwide crop pest, Drosophila suzukii . This system is composed of a synthetic Medea drive with a maternal miRNA “toxin” and a zygotic “antidote,” and we demonstrate that it can bias inheritance with 100% efficiency and can persist in a population given high release frequencies. We discuss how such a system may be used to suppress D. suzukii populations or render them harmless to target crops.\n\nSynthetic gene drive systems possess enormous potential to replace, alter, or suppress wild populations of significant disease vectors and crop pests; however, their utility in diverse populations remains to be demonstrated. Here, we report the creation of a synthetic Medea gene drive system in a major worldwide crop pest, Drosophila suzukii . We demonstrate that this drive system, based on an engineered maternal “toxin” coupled with a linked embryonic “antidote,” is capable of biasing Mendelian inheritance rates with up to 100% efficiency. However, we find that drive resistance, resulting from naturally occurring genetic variation and associated fitness costs, can be selected for and hinder the spread of such a drive. Despite this, our results suggest that this gene drive could maintain itself at high frequencies in a wild population and spread to fixation if either its fitness costs or toxin resistance were reduced, providing a clear path forward for developing future such systems in this pest.","author":[{"dropping-particle":"","family":"Buchman","given":"Anna","non-dropping-particle":"","parse-names":false,"suffix":""},{"dropping-particle":"","family":"Marshall","given":"John M.","non-dropping-particle":"","parse-names":false,"suffix":""},{"dropping-particle":"","family":"Ostrovski","given":"Dennis","non-dropping-particle":"","parse-names":false,"suffix":""},{"dropping-particle":"","family":"Yang","given":"Ting","non-dropping-particle":"","parse-names":false,"suffix":""},{"dropping-particle":"","family":"Akbari","given":"Omar S.","non-dropping-particle":"","parse-names":false,"suffix":""}],"container-title":"Proceedings of the National Academy of Sciences","id":"ITEM-1","issued":{"date-parts":[["2018"]]},"page":"201713139","title":"Synthetically engineered &lt;i&gt;Medea&lt;/i&gt; gene drive system in the worldwide crop pest &lt;i&gt;Drosophila suzukii&lt;/i&gt;","type":"article-journal","volume":"0"},"uris":["http://www.mendeley.com/documents/?uuid=2e2388c1-a729-4594-b604-10684cc60619"]}],"mendeley":{"formattedCitation":"(Buchman, Marshall, Ostrovski, Yang, &amp; Akbari, 2018)","plainTextFormattedCitation":"(Buchman, Marshall, Ostrovski, Yang, &amp; Akbari, 2018)","previouslyFormattedCitation":"(Buchman, Marshall, Ostrovski, Yang, &amp; Akbari, 2018)"},"properties":{"noteIndex":0},"schema":"https://github.com/citation-style-language/schema/raw/master/csl-citation.json"}</w:instrText>
      </w:r>
      <w:r>
        <w:fldChar w:fldCharType="separate"/>
      </w:r>
      <w:r w:rsidRPr="00C23635">
        <w:rPr>
          <w:noProof/>
        </w:rPr>
        <w:t>(Buchman, Marshall, Ostrovski, Yang, &amp; Akbari, 2018)</w:t>
      </w:r>
      <w:r>
        <w:fldChar w:fldCharType="end"/>
      </w:r>
      <w:r>
        <w:t xml:space="preserve"> through the population. Similarly, it could be used to track the prevalence of certain Wolbachia haplotypes, or male only strains in SIT.</w:t>
      </w:r>
    </w:p>
    <w:p w14:paraId="6D5FEA40" w14:textId="5B0230C3" w:rsidR="00C23635" w:rsidRPr="00087CEE" w:rsidRDefault="00C23635" w:rsidP="00356EA1">
      <w:pPr>
        <w:pStyle w:val="ListParagraph"/>
        <w:numPr>
          <w:ilvl w:val="0"/>
          <w:numId w:val="12"/>
        </w:numPr>
        <w:spacing w:after="160"/>
      </w:pPr>
      <w:r>
        <w:t xml:space="preserve">One of the main limitations currently is access to HTS technology and turn around times, particularly for pest management. </w:t>
      </w:r>
      <w:r w:rsidR="00903C10">
        <w:t xml:space="preserve"> Promising new advances in improving the error rates of portable nanopore technology would get around this </w:t>
      </w:r>
      <w:r w:rsidR="00903C10">
        <w:fldChar w:fldCharType="begin" w:fldLock="1"/>
      </w:r>
      <w:r w:rsidR="00CB6749">
        <w:instrText>ADDIN CSL_CITATION {"citationItems":[{"id":"ITEM-1","itemData":{"DOI":"10.1101/645903","abstract":"High-throughput amplicon sequencing of large genomic regions represents a challenge for existing short-read technologies. Long-read technologies can in theory sequence large genomic regions, but they currently suffer from high error rates. Here, we report a high-throughput amplicon sequencing approach that combines unique molecular identifiers (UMIs) with Oxford Nanopore sequencing to generate single-molecule consensus sequences of large genomic regions. We demonstrate the approach by generating nearly 10,000 full-length ribosomal RNA (rRNA) operons of roughly 4,400 bp in length from a mock microbial community consisting of eight bacterial species using a single Oxford Nanopore MinION flowcell. The mean error rate of the consensus sequences was 0.03%, with no detectable chimeras due to a rigorous UMI-barcode filtering strategy. The simplicity and accessibility of this method paves way for widespread use of high-accuracy amplicon sequencing in a variety of genomic applications.","author":[{"dropping-particle":"","family":"Karst","given":"Søren M.","non-dropping-particle":"","parse-names":false,"suffix":""},{"dropping-particle":"","family":"Ziels","given":"Ryan M.","non-dropping-particle":"","parse-names":false,"suffix":""},{"dropping-particle":"","family":"Kirkegaard","given":"Rasmus H.","non-dropping-particle":"","parse-names":false,"suffix":""},{"dropping-particle":"","family":"Albertsen","given":"Mads","non-dropping-particle":"","parse-names":false,"suffix":""}],"container-title":"bioRxiv","id":"ITEM-1","issued":{"date-parts":[["2019"]]},"page":"645903","title":"Enabling high-accuracy long-read amplicon sequences using unique molecular identifiers and Nanopore sequencing","type":"article-journal"},"uris":["http://www.mendeley.com/documents/?uuid=a1183177-b6c4-451e-9ee3-a8b2de375e5a"]}],"mendeley":{"formattedCitation":"(Karst, Ziels, Kirkegaard, &amp; Albertsen, 2019)","plainTextFormattedCitation":"(Karst, Ziels, Kirkegaard, &amp; Albertsen, 2019)","previouslyFormattedCitation":"(Karst, Ziels, Kirkegaard, &amp; Albertsen, 2019)"},"properties":{"noteIndex":0},"schema":"https://github.com/citation-style-language/schema/raw/master/csl-citation.json"}</w:instrText>
      </w:r>
      <w:r w:rsidR="00903C10">
        <w:fldChar w:fldCharType="separate"/>
      </w:r>
      <w:r w:rsidR="00903C10" w:rsidRPr="00903C10">
        <w:rPr>
          <w:noProof/>
        </w:rPr>
        <w:t>(Karst, Ziels, Kirkegaard, &amp; Albertsen, 2019)</w:t>
      </w:r>
      <w:r w:rsidR="00903C10">
        <w:fldChar w:fldCharType="end"/>
      </w:r>
      <w:r w:rsidR="00903C10">
        <w:t xml:space="preserve">, allowing access to metabarcoding based diagnostics in remote field sites or underfunded labs. </w:t>
      </w:r>
    </w:p>
    <w:p w14:paraId="58278A01" w14:textId="7FE63442" w:rsidR="008564E3" w:rsidRPr="00087CEE" w:rsidRDefault="008564E3" w:rsidP="00356EA1">
      <w:pPr>
        <w:spacing w:after="160"/>
      </w:pPr>
    </w:p>
    <w:p w14:paraId="6A30059C" w14:textId="2A6A3AE0" w:rsidR="00740751" w:rsidRPr="00087CEE" w:rsidRDefault="00740751" w:rsidP="00356EA1">
      <w:pPr>
        <w:spacing w:after="160"/>
        <w:rPr>
          <w:b/>
        </w:rPr>
      </w:pPr>
      <w:r w:rsidRPr="00087CEE">
        <w:rPr>
          <w:b/>
        </w:rPr>
        <w:t>Acknowledgments</w:t>
      </w:r>
    </w:p>
    <w:p w14:paraId="10BDF313" w14:textId="0EE12296" w:rsidR="00740751" w:rsidRPr="00087CEE" w:rsidRDefault="00740751" w:rsidP="00356EA1">
      <w:pPr>
        <w:spacing w:after="160"/>
      </w:pPr>
      <w:r w:rsidRPr="00087CEE">
        <w:t xml:space="preserve">The authors </w:t>
      </w:r>
      <w:r w:rsidR="00001C9C" w:rsidRPr="00087CEE">
        <w:t xml:space="preserve">would like to acknowledge </w:t>
      </w:r>
      <w:r w:rsidRPr="00087CEE">
        <w:t>Jessica Henneken, Shahidul Islam, Kevin Farnier and Farrukh Baig for assistance in trapping</w:t>
      </w:r>
      <w:r w:rsidR="00001C9C" w:rsidRPr="00087CEE">
        <w:t xml:space="preserve">, </w:t>
      </w:r>
      <w:r w:rsidRPr="00087CEE">
        <w:t xml:space="preserve">Lea Rako and Shane </w:t>
      </w:r>
      <w:proofErr w:type="spellStart"/>
      <w:r w:rsidRPr="00087CEE">
        <w:t>McEvey</w:t>
      </w:r>
      <w:proofErr w:type="spellEnd"/>
      <w:r w:rsidRPr="00087CEE">
        <w:t xml:space="preserve"> for taxonomic assistance</w:t>
      </w:r>
      <w:r w:rsidR="00001C9C" w:rsidRPr="00087CEE">
        <w:t xml:space="preserve"> and</w:t>
      </w:r>
      <w:r w:rsidR="002111BD">
        <w:t xml:space="preserve"> </w:t>
      </w:r>
      <w:r w:rsidR="002111BD" w:rsidRPr="002111BD">
        <w:rPr>
          <w:highlight w:val="yellow"/>
        </w:rPr>
        <w:t>x</w:t>
      </w:r>
      <w:r w:rsidR="00001C9C" w:rsidRPr="00087CEE">
        <w:t xml:space="preserve"> for allowing traps placed on their property</w:t>
      </w:r>
      <w:r w:rsidRPr="00087CEE">
        <w:t xml:space="preserve">. We also like to acknowledge </w:t>
      </w:r>
      <w:r w:rsidR="000E0286" w:rsidRPr="00087CEE">
        <w:t xml:space="preserve">the </w:t>
      </w:r>
      <w:r w:rsidRPr="00087CEE">
        <w:t xml:space="preserve">Drosophila Species Stock </w:t>
      </w:r>
      <w:proofErr w:type="spellStart"/>
      <w:r w:rsidRPr="00087CEE">
        <w:t>Center</w:t>
      </w:r>
      <w:proofErr w:type="spellEnd"/>
      <w:r w:rsidRPr="00087CEE">
        <w:t xml:space="preserve"> (Cornell University, Ithaca, USA),</w:t>
      </w:r>
      <w:r w:rsidR="000E0286" w:rsidRPr="00087CEE">
        <w:t xml:space="preserve"> </w:t>
      </w:r>
      <w:r w:rsidRPr="00087CEE">
        <w:t xml:space="preserve">Ehime University </w:t>
      </w:r>
      <w:r w:rsidR="002971B5" w:rsidRPr="00087CEE">
        <w:t xml:space="preserve">Drosophila </w:t>
      </w:r>
      <w:r w:rsidRPr="00087CEE">
        <w:t>stock centre, and EMR UK for providing drosophila specimens used in this work.</w:t>
      </w:r>
      <w:r w:rsidR="002111BD">
        <w:t xml:space="preserve"> </w:t>
      </w:r>
      <w:r w:rsidR="002111BD">
        <w:rPr>
          <w:bCs/>
        </w:rPr>
        <w:t>Financial support for t</w:t>
      </w:r>
      <w:r w:rsidR="002111BD" w:rsidRPr="003B050D">
        <w:rPr>
          <w:bCs/>
        </w:rPr>
        <w:t xml:space="preserve">his </w:t>
      </w:r>
      <w:r w:rsidR="002111BD">
        <w:rPr>
          <w:bCs/>
        </w:rPr>
        <w:t>study</w:t>
      </w:r>
      <w:r w:rsidR="002111BD" w:rsidRPr="003B050D">
        <w:rPr>
          <w:bCs/>
        </w:rPr>
        <w:t xml:space="preserve"> was </w:t>
      </w:r>
      <w:r w:rsidR="002111BD">
        <w:rPr>
          <w:bCs/>
        </w:rPr>
        <w:t>provided</w:t>
      </w:r>
      <w:r w:rsidR="002111BD" w:rsidRPr="003B050D">
        <w:rPr>
          <w:bCs/>
        </w:rPr>
        <w:t xml:space="preserve"> by Agriculture Victoria's Improved Market Access for Horticulture programme (CMI105584).</w:t>
      </w:r>
      <w:r w:rsidR="002111BD">
        <w:rPr>
          <w:bCs/>
        </w:rPr>
        <w:t xml:space="preserve"> </w:t>
      </w:r>
      <w:r w:rsidR="002111BD" w:rsidRPr="003B050D">
        <w:rPr>
          <w:bCs/>
        </w:rPr>
        <w:t xml:space="preserve">A.M.P. </w:t>
      </w:r>
      <w:r w:rsidR="002111BD">
        <w:rPr>
          <w:bCs/>
        </w:rPr>
        <w:t>is</w:t>
      </w:r>
      <w:r w:rsidR="002111BD" w:rsidRPr="003B050D">
        <w:rPr>
          <w:bCs/>
        </w:rPr>
        <w:t xml:space="preserve"> </w:t>
      </w:r>
      <w:r w:rsidR="002111BD">
        <w:rPr>
          <w:bCs/>
        </w:rPr>
        <w:t xml:space="preserve">further </w:t>
      </w:r>
      <w:r w:rsidR="002111BD" w:rsidRPr="003B050D">
        <w:rPr>
          <w:bCs/>
        </w:rPr>
        <w:t>supported by Australian Government Research Training Program Scholarship</w:t>
      </w:r>
      <w:r w:rsidR="002111BD">
        <w:rPr>
          <w:bCs/>
        </w:rPr>
        <w:t>.</w:t>
      </w:r>
    </w:p>
    <w:p w14:paraId="49A5BDFB" w14:textId="77777777" w:rsidR="00001C9C" w:rsidRPr="00087CEE" w:rsidRDefault="00001C9C" w:rsidP="00356EA1">
      <w:pPr>
        <w:spacing w:after="160"/>
      </w:pPr>
    </w:p>
    <w:p w14:paraId="59134E6C" w14:textId="3D1F84EB" w:rsidR="00740751" w:rsidRPr="00087CEE" w:rsidRDefault="00740751" w:rsidP="00356EA1">
      <w:pPr>
        <w:spacing w:after="160"/>
      </w:pPr>
      <w:r w:rsidRPr="00087CEE">
        <w:rPr>
          <w:b/>
        </w:rPr>
        <w:lastRenderedPageBreak/>
        <w:t>Availability of data and materials:</w:t>
      </w:r>
      <w:r w:rsidRPr="00087CEE">
        <w:t xml:space="preserve"> </w:t>
      </w:r>
    </w:p>
    <w:p w14:paraId="6CBAE5EB" w14:textId="035875D2" w:rsidR="00740751" w:rsidRDefault="00BC3E01" w:rsidP="00356EA1">
      <w:pPr>
        <w:spacing w:after="160"/>
        <w:rPr>
          <w:rStyle w:val="Hyperlink"/>
        </w:rPr>
      </w:pPr>
      <w:r>
        <w:t xml:space="preserve">All </w:t>
      </w:r>
      <w:r w:rsidRPr="002B2EEA">
        <w:t xml:space="preserve">code </w:t>
      </w:r>
      <w:r>
        <w:t>required to reproduce</w:t>
      </w:r>
      <w:r w:rsidRPr="002B2EEA">
        <w:t xml:space="preserve"> all statistical analyses</w:t>
      </w:r>
      <w:r>
        <w:t xml:space="preserve"> and</w:t>
      </w:r>
      <w:r w:rsidRPr="002B2EEA">
        <w:t xml:space="preserve"> </w:t>
      </w:r>
      <w:r>
        <w:t>g</w:t>
      </w:r>
      <w:r w:rsidRPr="002B2EEA">
        <w:t>enerate all figures is contained in the manuscript’s GitHub repository</w:t>
      </w:r>
      <w:r>
        <w:t xml:space="preserve">  </w:t>
      </w:r>
      <w:hyperlink r:id="rId12" w:history="1">
        <w:r w:rsidRPr="000559A2">
          <w:rPr>
            <w:rStyle w:val="Hyperlink"/>
          </w:rPr>
          <w:t>https://github.com/alexpiper/Drosophila_metabarcoding</w:t>
        </w:r>
      </w:hyperlink>
    </w:p>
    <w:p w14:paraId="73972205" w14:textId="77777777" w:rsidR="002C6035" w:rsidRPr="003B69A8" w:rsidRDefault="002C6035" w:rsidP="002C6035">
      <w:pPr>
        <w:pStyle w:val="Heading1"/>
      </w:pPr>
      <w:r w:rsidRPr="003B69A8">
        <w:t>Author contributions</w:t>
      </w:r>
    </w:p>
    <w:p w14:paraId="68D6611D" w14:textId="08B20B92" w:rsidR="00BC3E01" w:rsidRPr="00087CEE" w:rsidRDefault="002C6035" w:rsidP="00356EA1">
      <w:pPr>
        <w:spacing w:after="160"/>
      </w:pPr>
      <w:r>
        <w:t>A.M.P, J.P.C.</w:t>
      </w:r>
      <w:r w:rsidRPr="003B050D">
        <w:t xml:space="preserve"> </w:t>
      </w:r>
      <w:r>
        <w:t xml:space="preserve">and M.J.B. </w:t>
      </w:r>
      <w:r w:rsidRPr="003B050D">
        <w:t>conceptualised the study</w:t>
      </w:r>
      <w:r>
        <w:t>, A.M.P performed all field collections, laboratory work, and bioinformatic analysis. A.M.P. wrote the manuscript with input and supervision from J.P.C, NC, and M.J.B. All authors read and reviewed the final version of the manuscript.</w:t>
      </w:r>
    </w:p>
    <w:p w14:paraId="5F8555E7" w14:textId="13F41AAF" w:rsidR="00CB324B" w:rsidRPr="00087CEE" w:rsidRDefault="00CB324B" w:rsidP="00356EA1">
      <w:pPr>
        <w:pStyle w:val="Heading1"/>
        <w:rPr>
          <w:szCs w:val="22"/>
        </w:rPr>
      </w:pPr>
      <w:r w:rsidRPr="00087CEE">
        <w:rPr>
          <w:szCs w:val="22"/>
        </w:rPr>
        <w:t>References</w:t>
      </w:r>
    </w:p>
    <w:p w14:paraId="1B89E31E" w14:textId="710741C5" w:rsidR="002B0DF8" w:rsidRPr="002B0DF8" w:rsidRDefault="0016608D" w:rsidP="002B0DF8">
      <w:pPr>
        <w:widowControl w:val="0"/>
        <w:autoSpaceDE w:val="0"/>
        <w:autoSpaceDN w:val="0"/>
        <w:adjustRightInd w:val="0"/>
        <w:spacing w:after="160"/>
        <w:ind w:left="480" w:hanging="480"/>
        <w:rPr>
          <w:rFonts w:cs="Times New Roman"/>
          <w:noProof/>
          <w:szCs w:val="24"/>
        </w:rPr>
      </w:pPr>
      <w:r w:rsidRPr="00087CEE">
        <w:fldChar w:fldCharType="begin" w:fldLock="1"/>
      </w:r>
      <w:r w:rsidRPr="00087CEE">
        <w:instrText xml:space="preserve">ADDIN Mendeley Bibliography CSL_BIBLIOGRAPHY </w:instrText>
      </w:r>
      <w:r w:rsidRPr="00087CEE">
        <w:fldChar w:fldCharType="separate"/>
      </w:r>
      <w:r w:rsidR="002B0DF8" w:rsidRPr="002B0DF8">
        <w:rPr>
          <w:rFonts w:cs="Times New Roman"/>
          <w:noProof/>
          <w:szCs w:val="24"/>
        </w:rPr>
        <w:t xml:space="preserve">Asplen, M. K., Anfora, G., Biondi, A., Choi, D. S., Chu, D., Daane, K. M., … Desneux, N. (2015). Invasion biology of spotted wing Drosophila (Drosophila suzukii): a global perspective and future priorities. </w:t>
      </w:r>
      <w:r w:rsidR="002B0DF8" w:rsidRPr="002B0DF8">
        <w:rPr>
          <w:rFonts w:cs="Times New Roman"/>
          <w:i/>
          <w:iCs/>
          <w:noProof/>
          <w:szCs w:val="24"/>
        </w:rPr>
        <w:t>Journal of Pest Science</w:t>
      </w:r>
      <w:r w:rsidR="002B0DF8" w:rsidRPr="002B0DF8">
        <w:rPr>
          <w:rFonts w:cs="Times New Roman"/>
          <w:noProof/>
          <w:szCs w:val="24"/>
        </w:rPr>
        <w:t xml:space="preserve">, </w:t>
      </w:r>
      <w:r w:rsidR="002B0DF8" w:rsidRPr="002B0DF8">
        <w:rPr>
          <w:rFonts w:cs="Times New Roman"/>
          <w:i/>
          <w:iCs/>
          <w:noProof/>
          <w:szCs w:val="24"/>
        </w:rPr>
        <w:t>88</w:t>
      </w:r>
      <w:r w:rsidR="002B0DF8" w:rsidRPr="002B0DF8">
        <w:rPr>
          <w:rFonts w:cs="Times New Roman"/>
          <w:noProof/>
          <w:szCs w:val="24"/>
        </w:rPr>
        <w:t>(3), 469–494. doi:10.1007/s10340-015-0681-z</w:t>
      </w:r>
    </w:p>
    <w:p w14:paraId="13DAA721"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Batista, M. R. D., Uno, F., Chaves, R. D., Tidon, R., Rosa, C. A., &amp; Klaczko, L. B. (2017). Differential attraction of drosophilids to banana baits inoculated with </w:t>
      </w:r>
      <w:r w:rsidRPr="002B0DF8">
        <w:rPr>
          <w:rFonts w:cs="Times New Roman"/>
          <w:i/>
          <w:iCs/>
          <w:noProof/>
          <w:szCs w:val="24"/>
        </w:rPr>
        <w:t>Saccharomyces cerevisiae</w:t>
      </w:r>
      <w:r w:rsidRPr="002B0DF8">
        <w:rPr>
          <w:rFonts w:cs="Times New Roman"/>
          <w:noProof/>
          <w:szCs w:val="24"/>
        </w:rPr>
        <w:t xml:space="preserve"> and </w:t>
      </w:r>
      <w:r w:rsidRPr="002B0DF8">
        <w:rPr>
          <w:rFonts w:cs="Times New Roman"/>
          <w:i/>
          <w:iCs/>
          <w:noProof/>
          <w:szCs w:val="24"/>
        </w:rPr>
        <w:t>Hanseniaspora uvarum</w:t>
      </w:r>
      <w:r w:rsidRPr="002B0DF8">
        <w:rPr>
          <w:rFonts w:cs="Times New Roman"/>
          <w:noProof/>
          <w:szCs w:val="24"/>
        </w:rPr>
        <w:t xml:space="preserve"> within a Neotropical forest remnant. </w:t>
      </w:r>
      <w:r w:rsidRPr="002B0DF8">
        <w:rPr>
          <w:rFonts w:cs="Times New Roman"/>
          <w:i/>
          <w:iCs/>
          <w:noProof/>
          <w:szCs w:val="24"/>
        </w:rPr>
        <w:t>PeerJ</w:t>
      </w:r>
      <w:r w:rsidRPr="002B0DF8">
        <w:rPr>
          <w:rFonts w:cs="Times New Roman"/>
          <w:noProof/>
          <w:szCs w:val="24"/>
        </w:rPr>
        <w:t xml:space="preserve">, </w:t>
      </w:r>
      <w:r w:rsidRPr="002B0DF8">
        <w:rPr>
          <w:rFonts w:cs="Times New Roman"/>
          <w:i/>
          <w:iCs/>
          <w:noProof/>
          <w:szCs w:val="24"/>
        </w:rPr>
        <w:t>5</w:t>
      </w:r>
      <w:r w:rsidRPr="002B0DF8">
        <w:rPr>
          <w:rFonts w:cs="Times New Roman"/>
          <w:noProof/>
          <w:szCs w:val="24"/>
        </w:rPr>
        <w:t>(March), e3063. doi:10.7717/peerj.3063</w:t>
      </w:r>
    </w:p>
    <w:p w14:paraId="464A5D6D"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Batovska, J., Lynch, S. E., Cogan, N. O. I., Brown, K., Darbro, J. M., Kho, E. A., &amp; Blacket, M. J. (2018). Effective mosquito and arbovirus surveillance using metabarcoding. </w:t>
      </w:r>
      <w:r w:rsidRPr="002B0DF8">
        <w:rPr>
          <w:rFonts w:cs="Times New Roman"/>
          <w:i/>
          <w:iCs/>
          <w:noProof/>
          <w:szCs w:val="24"/>
        </w:rPr>
        <w:t>Mol Ecol Resour</w:t>
      </w:r>
      <w:r w:rsidRPr="002B0DF8">
        <w:rPr>
          <w:rFonts w:cs="Times New Roman"/>
          <w:noProof/>
          <w:szCs w:val="24"/>
        </w:rPr>
        <w:t xml:space="preserve">, </w:t>
      </w:r>
      <w:r w:rsidRPr="002B0DF8">
        <w:rPr>
          <w:rFonts w:cs="Times New Roman"/>
          <w:i/>
          <w:iCs/>
          <w:noProof/>
          <w:szCs w:val="24"/>
        </w:rPr>
        <w:t>18</w:t>
      </w:r>
      <w:r w:rsidRPr="002B0DF8">
        <w:rPr>
          <w:rFonts w:cs="Times New Roman"/>
          <w:noProof/>
          <w:szCs w:val="24"/>
        </w:rPr>
        <w:t>(1), 32–40. doi:10.1111/1755-0998.12682</w:t>
      </w:r>
    </w:p>
    <w:p w14:paraId="2DEF0088"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Bellutti, N., Gallmetzer, A., Innerebner, G., Schmidt, S., Zelger, R., &amp; Koschier, E. H. (2017). Dietary yeast affects preference and performance in Drosophila suzukii. </w:t>
      </w:r>
      <w:r w:rsidRPr="002B0DF8">
        <w:rPr>
          <w:rFonts w:cs="Times New Roman"/>
          <w:i/>
          <w:iCs/>
          <w:noProof/>
          <w:szCs w:val="24"/>
        </w:rPr>
        <w:lastRenderedPageBreak/>
        <w:t>Journal of Pest Science</w:t>
      </w:r>
      <w:r w:rsidRPr="002B0DF8">
        <w:rPr>
          <w:rFonts w:cs="Times New Roman"/>
          <w:noProof/>
          <w:szCs w:val="24"/>
        </w:rPr>
        <w:t>. doi:10.1007/s10340-017-0932-2</w:t>
      </w:r>
    </w:p>
    <w:p w14:paraId="44F42464"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Buchman, A., Marshall, J. M., Ostrovski, D., Yang, T., &amp; Akbari, O. S. (2018). Synthetically engineered </w:t>
      </w:r>
      <w:r w:rsidRPr="002B0DF8">
        <w:rPr>
          <w:rFonts w:cs="Times New Roman"/>
          <w:i/>
          <w:iCs/>
          <w:noProof/>
          <w:szCs w:val="24"/>
        </w:rPr>
        <w:t>Medea</w:t>
      </w:r>
      <w:r w:rsidRPr="002B0DF8">
        <w:rPr>
          <w:rFonts w:cs="Times New Roman"/>
          <w:noProof/>
          <w:szCs w:val="24"/>
        </w:rPr>
        <w:t xml:space="preserve"> gene drive system in the worldwide crop pest </w:t>
      </w:r>
      <w:r w:rsidRPr="002B0DF8">
        <w:rPr>
          <w:rFonts w:cs="Times New Roman"/>
          <w:i/>
          <w:iCs/>
          <w:noProof/>
          <w:szCs w:val="24"/>
        </w:rPr>
        <w:t>Drosophila suzukii</w:t>
      </w:r>
      <w:r w:rsidRPr="002B0DF8">
        <w:rPr>
          <w:rFonts w:cs="Times New Roman"/>
          <w:noProof/>
          <w:szCs w:val="24"/>
        </w:rPr>
        <w:t xml:space="preserve">. </w:t>
      </w:r>
      <w:r w:rsidRPr="002B0DF8">
        <w:rPr>
          <w:rFonts w:cs="Times New Roman"/>
          <w:i/>
          <w:iCs/>
          <w:noProof/>
          <w:szCs w:val="24"/>
        </w:rPr>
        <w:t>Proceedings of the National Academy of Sciences</w:t>
      </w:r>
      <w:r w:rsidRPr="002B0DF8">
        <w:rPr>
          <w:rFonts w:cs="Times New Roman"/>
          <w:noProof/>
          <w:szCs w:val="24"/>
        </w:rPr>
        <w:t xml:space="preserve">, </w:t>
      </w:r>
      <w:r w:rsidRPr="002B0DF8">
        <w:rPr>
          <w:rFonts w:cs="Times New Roman"/>
          <w:i/>
          <w:iCs/>
          <w:noProof/>
          <w:szCs w:val="24"/>
        </w:rPr>
        <w:t>0</w:t>
      </w:r>
      <w:r w:rsidRPr="002B0DF8">
        <w:rPr>
          <w:rFonts w:cs="Times New Roman"/>
          <w:noProof/>
          <w:szCs w:val="24"/>
        </w:rPr>
        <w:t>, 201713139. doi:10.1073/pnas.1713139115</w:t>
      </w:r>
    </w:p>
    <w:p w14:paraId="6524F90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Cha, D. H., Adams, T., Rogg, H., &amp; Landolt, P. J. (2012). Identification and Field Evaluation of Fermentation Volatiles from Wine and Vinegar that Mediate Attraction of Spotted Wing Drosophila, Drosophila suzukii. </w:t>
      </w:r>
      <w:r w:rsidRPr="002B0DF8">
        <w:rPr>
          <w:rFonts w:cs="Times New Roman"/>
          <w:i/>
          <w:iCs/>
          <w:noProof/>
          <w:szCs w:val="24"/>
        </w:rPr>
        <w:t>Journal of Chemical Ecology</w:t>
      </w:r>
      <w:r w:rsidRPr="002B0DF8">
        <w:rPr>
          <w:rFonts w:cs="Times New Roman"/>
          <w:noProof/>
          <w:szCs w:val="24"/>
        </w:rPr>
        <w:t xml:space="preserve">, </w:t>
      </w:r>
      <w:r w:rsidRPr="002B0DF8">
        <w:rPr>
          <w:rFonts w:cs="Times New Roman"/>
          <w:i/>
          <w:iCs/>
          <w:noProof/>
          <w:szCs w:val="24"/>
        </w:rPr>
        <w:t>38</w:t>
      </w:r>
      <w:r w:rsidRPr="002B0DF8">
        <w:rPr>
          <w:rFonts w:cs="Times New Roman"/>
          <w:noProof/>
          <w:szCs w:val="24"/>
        </w:rPr>
        <w:t>(11), 1419–1431. doi:10.1007/s10886-012-0196-5</w:t>
      </w:r>
    </w:p>
    <w:p w14:paraId="56716BAF"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Cini, A., Ioriatti, C., &amp; Anfora, G. (2012). A review of the invasion of Drosophila suzukii in Europe and a draft research agenda for integrated pest management. </w:t>
      </w:r>
      <w:r w:rsidRPr="002B0DF8">
        <w:rPr>
          <w:rFonts w:cs="Times New Roman"/>
          <w:i/>
          <w:iCs/>
          <w:noProof/>
          <w:szCs w:val="24"/>
        </w:rPr>
        <w:t>Bulletin of Insectology</w:t>
      </w:r>
      <w:r w:rsidRPr="002B0DF8">
        <w:rPr>
          <w:rFonts w:cs="Times New Roman"/>
          <w:noProof/>
          <w:szCs w:val="24"/>
        </w:rPr>
        <w:t xml:space="preserve">, </w:t>
      </w:r>
      <w:r w:rsidRPr="002B0DF8">
        <w:rPr>
          <w:rFonts w:cs="Times New Roman"/>
          <w:i/>
          <w:iCs/>
          <w:noProof/>
          <w:szCs w:val="24"/>
        </w:rPr>
        <w:t>65</w:t>
      </w:r>
      <w:r w:rsidRPr="002B0DF8">
        <w:rPr>
          <w:rFonts w:cs="Times New Roman"/>
          <w:noProof/>
          <w:szCs w:val="24"/>
        </w:rPr>
        <w:t>(1), 149–160.</w:t>
      </w:r>
    </w:p>
    <w:p w14:paraId="583D0DFC"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Comtet, T., Sandionigi, A., Viard, F., &amp; Casiraghi, M. (2015). DNA (meta)barcoding of biological invasions: a powerful tool to elucidate invasion processes and help managing aliens. </w:t>
      </w:r>
      <w:r w:rsidRPr="002B0DF8">
        <w:rPr>
          <w:rFonts w:cs="Times New Roman"/>
          <w:i/>
          <w:iCs/>
          <w:noProof/>
          <w:szCs w:val="24"/>
        </w:rPr>
        <w:t>Biological Invasions</w:t>
      </w:r>
      <w:r w:rsidRPr="002B0DF8">
        <w:rPr>
          <w:rFonts w:cs="Times New Roman"/>
          <w:noProof/>
          <w:szCs w:val="24"/>
        </w:rPr>
        <w:t xml:space="preserve">, </w:t>
      </w:r>
      <w:r w:rsidRPr="002B0DF8">
        <w:rPr>
          <w:rFonts w:cs="Times New Roman"/>
          <w:i/>
          <w:iCs/>
          <w:noProof/>
          <w:szCs w:val="24"/>
        </w:rPr>
        <w:t>17</w:t>
      </w:r>
      <w:r w:rsidRPr="002B0DF8">
        <w:rPr>
          <w:rFonts w:cs="Times New Roman"/>
          <w:noProof/>
          <w:szCs w:val="24"/>
        </w:rPr>
        <w:t>(3), 905–922. doi:10.1007/s10530-015-0854-y</w:t>
      </w:r>
    </w:p>
    <w:p w14:paraId="394E6E97"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Dhami, M. K., &amp; Kumarasinghe, L. (2014). A HRM real-time PCR assay for rapid and specific identification of the emerging pest spotted-wing Drosophila (Drosophila suzukii). </w:t>
      </w:r>
      <w:r w:rsidRPr="002B0DF8">
        <w:rPr>
          <w:rFonts w:cs="Times New Roman"/>
          <w:i/>
          <w:iCs/>
          <w:noProof/>
          <w:szCs w:val="24"/>
        </w:rPr>
        <w:t>PLoS ONE</w:t>
      </w:r>
      <w:r w:rsidRPr="002B0DF8">
        <w:rPr>
          <w:rFonts w:cs="Times New Roman"/>
          <w:noProof/>
          <w:szCs w:val="24"/>
        </w:rPr>
        <w:t xml:space="preserve">, </w:t>
      </w:r>
      <w:r w:rsidRPr="002B0DF8">
        <w:rPr>
          <w:rFonts w:cs="Times New Roman"/>
          <w:i/>
          <w:iCs/>
          <w:noProof/>
          <w:szCs w:val="24"/>
        </w:rPr>
        <w:t>9</w:t>
      </w:r>
      <w:r w:rsidRPr="002B0DF8">
        <w:rPr>
          <w:rFonts w:cs="Times New Roman"/>
          <w:noProof/>
          <w:szCs w:val="24"/>
        </w:rPr>
        <w:t>(6). doi:10.1371/journal.pone.0098934</w:t>
      </w:r>
    </w:p>
    <w:p w14:paraId="10F55BDE"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Elbrecht, V., &amp; Leese, F. (2017). Validation and Development of COI Metabarcoding Primers for Freshwater Macroinvertebrate Bioassessment. </w:t>
      </w:r>
      <w:r w:rsidRPr="002B0DF8">
        <w:rPr>
          <w:rFonts w:cs="Times New Roman"/>
          <w:i/>
          <w:iCs/>
          <w:noProof/>
          <w:szCs w:val="24"/>
        </w:rPr>
        <w:t>Frontiers in Environmental Science</w:t>
      </w:r>
      <w:r w:rsidRPr="002B0DF8">
        <w:rPr>
          <w:rFonts w:cs="Times New Roman"/>
          <w:noProof/>
          <w:szCs w:val="24"/>
        </w:rPr>
        <w:t xml:space="preserve">, </w:t>
      </w:r>
      <w:r w:rsidRPr="002B0DF8">
        <w:rPr>
          <w:rFonts w:cs="Times New Roman"/>
          <w:i/>
          <w:iCs/>
          <w:noProof/>
          <w:szCs w:val="24"/>
        </w:rPr>
        <w:t>5</w:t>
      </w:r>
      <w:r w:rsidRPr="002B0DF8">
        <w:rPr>
          <w:rFonts w:cs="Times New Roman"/>
          <w:noProof/>
          <w:szCs w:val="24"/>
        </w:rPr>
        <w:t>, 11. doi:10.3389/fenvs.2017.00011</w:t>
      </w:r>
    </w:p>
    <w:p w14:paraId="2FD2124A"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Goodhue, R. E., Bolda, M., Farnsworth, D., Williams, J. C., &amp; Zalom, F. G. (2011). Spotted </w:t>
      </w:r>
      <w:r w:rsidRPr="002B0DF8">
        <w:rPr>
          <w:rFonts w:cs="Times New Roman"/>
          <w:noProof/>
          <w:szCs w:val="24"/>
        </w:rPr>
        <w:lastRenderedPageBreak/>
        <w:t xml:space="preserve">wing drosophila infestation of California strawberries and raspberries: Economic analysis of potential revenue losses and control costs. </w:t>
      </w:r>
      <w:r w:rsidRPr="002B0DF8">
        <w:rPr>
          <w:rFonts w:cs="Times New Roman"/>
          <w:i/>
          <w:iCs/>
          <w:noProof/>
          <w:szCs w:val="24"/>
        </w:rPr>
        <w:t>Pest Management Science</w:t>
      </w:r>
      <w:r w:rsidRPr="002B0DF8">
        <w:rPr>
          <w:rFonts w:cs="Times New Roman"/>
          <w:noProof/>
          <w:szCs w:val="24"/>
        </w:rPr>
        <w:t xml:space="preserve">, </w:t>
      </w:r>
      <w:r w:rsidRPr="002B0DF8">
        <w:rPr>
          <w:rFonts w:cs="Times New Roman"/>
          <w:i/>
          <w:iCs/>
          <w:noProof/>
          <w:szCs w:val="24"/>
        </w:rPr>
        <w:t>67</w:t>
      </w:r>
      <w:r w:rsidRPr="002B0DF8">
        <w:rPr>
          <w:rFonts w:cs="Times New Roman"/>
          <w:noProof/>
          <w:szCs w:val="24"/>
        </w:rPr>
        <w:t>(11), 1396–1402. doi:10.1002/ps.2259</w:t>
      </w:r>
    </w:p>
    <w:p w14:paraId="29147507"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Griffin, J. E., Matechou, E., Buxton, A. S., Bormpoudakis, D., &amp; Griffiths, R. A. (2019). Modelling environmental DNA data; Bayesian variable selection accounting for false positive and false negative errors. </w:t>
      </w:r>
      <w:r w:rsidRPr="002B0DF8">
        <w:rPr>
          <w:rFonts w:cs="Times New Roman"/>
          <w:i/>
          <w:iCs/>
          <w:noProof/>
          <w:szCs w:val="24"/>
        </w:rPr>
        <w:t>Journal of the Royal Statistical Society. Series C: Applied Statistics</w:t>
      </w:r>
      <w:r w:rsidRPr="002B0DF8">
        <w:rPr>
          <w:rFonts w:cs="Times New Roman"/>
          <w:noProof/>
          <w:szCs w:val="24"/>
        </w:rPr>
        <w:t>. doi:10.1111/rssc.12390</w:t>
      </w:r>
    </w:p>
    <w:p w14:paraId="10DA66B6"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Hamby, K. A., &amp; Becher, P. G. (2016). Current knowledge of interactions between Drosophila suzukii and microbes, and their potential utility for pest management. </w:t>
      </w:r>
      <w:r w:rsidRPr="002B0DF8">
        <w:rPr>
          <w:rFonts w:cs="Times New Roman"/>
          <w:i/>
          <w:iCs/>
          <w:noProof/>
          <w:szCs w:val="24"/>
        </w:rPr>
        <w:t>Journal of Pest Science</w:t>
      </w:r>
      <w:r w:rsidRPr="002B0DF8">
        <w:rPr>
          <w:rFonts w:cs="Times New Roman"/>
          <w:noProof/>
          <w:szCs w:val="24"/>
        </w:rPr>
        <w:t xml:space="preserve">, </w:t>
      </w:r>
      <w:r w:rsidRPr="002B0DF8">
        <w:rPr>
          <w:rFonts w:cs="Times New Roman"/>
          <w:i/>
          <w:iCs/>
          <w:noProof/>
          <w:szCs w:val="24"/>
        </w:rPr>
        <w:t>89</w:t>
      </w:r>
      <w:r w:rsidRPr="002B0DF8">
        <w:rPr>
          <w:rFonts w:cs="Times New Roman"/>
          <w:noProof/>
          <w:szCs w:val="24"/>
        </w:rPr>
        <w:t>(3), 621–630. doi:10.1007/s10340-016-0768-1</w:t>
      </w:r>
    </w:p>
    <w:p w14:paraId="25A30D7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Hardwick, S. A., Deveson, I. W., &amp; Mercer, T. R. (2017). Reference standards for next-generation sequencing. </w:t>
      </w:r>
      <w:r w:rsidRPr="002B0DF8">
        <w:rPr>
          <w:rFonts w:cs="Times New Roman"/>
          <w:i/>
          <w:iCs/>
          <w:noProof/>
          <w:szCs w:val="24"/>
        </w:rPr>
        <w:t>Nature Reviews Genetics</w:t>
      </w:r>
      <w:r w:rsidRPr="002B0DF8">
        <w:rPr>
          <w:rFonts w:cs="Times New Roman"/>
          <w:noProof/>
          <w:szCs w:val="24"/>
        </w:rPr>
        <w:t xml:space="preserve">, </w:t>
      </w:r>
      <w:r w:rsidRPr="002B0DF8">
        <w:rPr>
          <w:rFonts w:cs="Times New Roman"/>
          <w:i/>
          <w:iCs/>
          <w:noProof/>
          <w:szCs w:val="24"/>
        </w:rPr>
        <w:t>18</w:t>
      </w:r>
      <w:r w:rsidRPr="002B0DF8">
        <w:rPr>
          <w:rFonts w:cs="Times New Roman"/>
          <w:noProof/>
          <w:szCs w:val="24"/>
        </w:rPr>
        <w:t>(8), 473–484. doi:10.1038/nrg.2017.44</w:t>
      </w:r>
    </w:p>
    <w:p w14:paraId="7B4759CD"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Hodgetts, J., Ostojá-Starzewski, J. C., Prior, T., Lawson, R., Hall, J., &amp; Boonham, N. (2016). DNA barcoding for biosecurity: case studies from the UK plant protection program. </w:t>
      </w:r>
      <w:r w:rsidRPr="002B0DF8">
        <w:rPr>
          <w:rFonts w:cs="Times New Roman"/>
          <w:i/>
          <w:iCs/>
          <w:noProof/>
          <w:szCs w:val="24"/>
        </w:rPr>
        <w:t>Genome</w:t>
      </w:r>
      <w:r w:rsidRPr="002B0DF8">
        <w:rPr>
          <w:rFonts w:cs="Times New Roman"/>
          <w:noProof/>
          <w:szCs w:val="24"/>
        </w:rPr>
        <w:t xml:space="preserve">, </w:t>
      </w:r>
      <w:r w:rsidRPr="002B0DF8">
        <w:rPr>
          <w:rFonts w:cs="Times New Roman"/>
          <w:i/>
          <w:iCs/>
          <w:noProof/>
          <w:szCs w:val="24"/>
        </w:rPr>
        <w:t>59</w:t>
      </w:r>
      <w:r w:rsidRPr="002B0DF8">
        <w:rPr>
          <w:rFonts w:cs="Times New Roman"/>
          <w:noProof/>
          <w:szCs w:val="24"/>
        </w:rPr>
        <w:t>(11), 1033–1048. doi:10.1139/gen-2016-0010</w:t>
      </w:r>
    </w:p>
    <w:p w14:paraId="7B4CFEB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Karst, S. M., Ziels, R. M., Kirkegaard, R. H., &amp; Albertsen, M. (2019). Enabling high-accuracy long-read amplicon sequences using unique molecular identifiers and Nanopore sequencing. </w:t>
      </w:r>
      <w:r w:rsidRPr="002B0DF8">
        <w:rPr>
          <w:rFonts w:cs="Times New Roman"/>
          <w:i/>
          <w:iCs/>
          <w:noProof/>
          <w:szCs w:val="24"/>
        </w:rPr>
        <w:t>BioRxiv</w:t>
      </w:r>
      <w:r w:rsidRPr="002B0DF8">
        <w:rPr>
          <w:rFonts w:cs="Times New Roman"/>
          <w:noProof/>
          <w:szCs w:val="24"/>
        </w:rPr>
        <w:t>, 645903. doi:10.1101/645903</w:t>
      </w:r>
    </w:p>
    <w:p w14:paraId="53D39175"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Keesey, I. W., Knaden, M., &amp; Hansson, B. S. (2015). Olfactory Specialization in Drosophila suzukii Supports an Ecological Shift in Host Preference from Rotten to Fresh Fruit. </w:t>
      </w:r>
      <w:r w:rsidRPr="002B0DF8">
        <w:rPr>
          <w:rFonts w:cs="Times New Roman"/>
          <w:i/>
          <w:iCs/>
          <w:noProof/>
          <w:szCs w:val="24"/>
        </w:rPr>
        <w:t>Journal of Chemical Ecology</w:t>
      </w:r>
      <w:r w:rsidRPr="002B0DF8">
        <w:rPr>
          <w:rFonts w:cs="Times New Roman"/>
          <w:noProof/>
          <w:szCs w:val="24"/>
        </w:rPr>
        <w:t xml:space="preserve">, </w:t>
      </w:r>
      <w:r w:rsidRPr="002B0DF8">
        <w:rPr>
          <w:rFonts w:cs="Times New Roman"/>
          <w:i/>
          <w:iCs/>
          <w:noProof/>
          <w:szCs w:val="24"/>
        </w:rPr>
        <w:t>41</w:t>
      </w:r>
      <w:r w:rsidRPr="002B0DF8">
        <w:rPr>
          <w:rFonts w:cs="Times New Roman"/>
          <w:noProof/>
          <w:szCs w:val="24"/>
        </w:rPr>
        <w:t>(2), 121–128. doi:10.1007/s10886-015-0544-3</w:t>
      </w:r>
    </w:p>
    <w:p w14:paraId="76802884"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Kim, S. S., Tripodi, A. D., Johnson, D. T., &amp; Szalanski, A. L. (2014). Molecular Diagnostics of </w:t>
      </w:r>
      <w:r w:rsidRPr="002B0DF8">
        <w:rPr>
          <w:rFonts w:cs="Times New Roman"/>
          <w:noProof/>
          <w:szCs w:val="24"/>
        </w:rPr>
        <w:lastRenderedPageBreak/>
        <w:t>Drosophila suzukii ( Diptera</w:t>
      </w:r>
      <w:r w:rsidRPr="002B0DF8">
        <w:rPr>
          <w:rFonts w:ascii="Times New Roman" w:hAnsi="Times New Roman" w:cs="Times New Roman"/>
          <w:noProof/>
          <w:szCs w:val="24"/>
        </w:rPr>
        <w:t> </w:t>
      </w:r>
      <w:r w:rsidRPr="002B0DF8">
        <w:rPr>
          <w:rFonts w:cs="Times New Roman"/>
          <w:noProof/>
          <w:szCs w:val="24"/>
        </w:rPr>
        <w:t>: Drosophilidae ) using PCR-RFLP Molecular Diagnostics of Drosophila suzukii ( Diptera</w:t>
      </w:r>
      <w:r w:rsidRPr="002B0DF8">
        <w:rPr>
          <w:rFonts w:ascii="Times New Roman" w:hAnsi="Times New Roman" w:cs="Times New Roman"/>
          <w:noProof/>
          <w:szCs w:val="24"/>
        </w:rPr>
        <w:t> </w:t>
      </w:r>
      <w:r w:rsidRPr="002B0DF8">
        <w:rPr>
          <w:rFonts w:cs="Times New Roman"/>
          <w:noProof/>
          <w:szCs w:val="24"/>
        </w:rPr>
        <w:t xml:space="preserve">: Drosophilidae ) Using PCR-RFLP, </w:t>
      </w:r>
      <w:r w:rsidRPr="002B0DF8">
        <w:rPr>
          <w:rFonts w:cs="Times New Roman"/>
          <w:i/>
          <w:iCs/>
          <w:noProof/>
          <w:szCs w:val="24"/>
        </w:rPr>
        <w:t>107</w:t>
      </w:r>
      <w:r w:rsidRPr="002B0DF8">
        <w:rPr>
          <w:rFonts w:cs="Times New Roman"/>
          <w:noProof/>
          <w:szCs w:val="24"/>
        </w:rPr>
        <w:t>(3), 1292–1294.</w:t>
      </w:r>
    </w:p>
    <w:p w14:paraId="2D9F493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Kim, Y. H., Hur, J. H., Lee, G. S., Choi, M. Y., &amp; Koh, Y. H. (2016). Rapid and highly accurate detection of Drosophila suzukii, spotted wing Drosophila (Diptera: Drosophilidae) by loop-mediated isothermal amplification assays. </w:t>
      </w:r>
      <w:r w:rsidRPr="002B0DF8">
        <w:rPr>
          <w:rFonts w:cs="Times New Roman"/>
          <w:i/>
          <w:iCs/>
          <w:noProof/>
          <w:szCs w:val="24"/>
        </w:rPr>
        <w:t>Journal of Asia-Pacific Entomology</w:t>
      </w:r>
      <w:r w:rsidRPr="002B0DF8">
        <w:rPr>
          <w:rFonts w:cs="Times New Roman"/>
          <w:noProof/>
          <w:szCs w:val="24"/>
        </w:rPr>
        <w:t xml:space="preserve">, </w:t>
      </w:r>
      <w:r w:rsidRPr="002B0DF8">
        <w:rPr>
          <w:rFonts w:cs="Times New Roman"/>
          <w:i/>
          <w:iCs/>
          <w:noProof/>
          <w:szCs w:val="24"/>
        </w:rPr>
        <w:t>19</w:t>
      </w:r>
      <w:r w:rsidRPr="002B0DF8">
        <w:rPr>
          <w:rFonts w:cs="Times New Roman"/>
          <w:noProof/>
          <w:szCs w:val="24"/>
        </w:rPr>
        <w:t>(4), 1211–1216. doi:10.1016/j.aspen.2016.10.015</w:t>
      </w:r>
    </w:p>
    <w:p w14:paraId="52C78C61"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Kocher, A., Gantier, J. C., Gaborit, P., Zinger, L., Holota, H., Valiere, S., … Murienne, J. (2017). Vector soup: high-throughput identification of Neotropical phlebotomine sand flies using metabarcoding. </w:t>
      </w:r>
      <w:r w:rsidRPr="002B0DF8">
        <w:rPr>
          <w:rFonts w:cs="Times New Roman"/>
          <w:i/>
          <w:iCs/>
          <w:noProof/>
          <w:szCs w:val="24"/>
        </w:rPr>
        <w:t>Molecular Ecology Resources</w:t>
      </w:r>
      <w:r w:rsidRPr="002B0DF8">
        <w:rPr>
          <w:rFonts w:cs="Times New Roman"/>
          <w:noProof/>
          <w:szCs w:val="24"/>
        </w:rPr>
        <w:t xml:space="preserve">, </w:t>
      </w:r>
      <w:r w:rsidRPr="002B0DF8">
        <w:rPr>
          <w:rFonts w:cs="Times New Roman"/>
          <w:i/>
          <w:iCs/>
          <w:noProof/>
          <w:szCs w:val="24"/>
        </w:rPr>
        <w:t>17</w:t>
      </w:r>
      <w:r w:rsidRPr="002B0DF8">
        <w:rPr>
          <w:rFonts w:cs="Times New Roman"/>
          <w:noProof/>
          <w:szCs w:val="24"/>
        </w:rPr>
        <w:t>(2), 172–182. doi:10.1111/1755-0998.12556</w:t>
      </w:r>
    </w:p>
    <w:p w14:paraId="4C614C3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Landolt, P. J., Adams, T., Davis, T. S., &amp; Rogg, H. (2012). Spotted Wing Drosophila, Drosophila suzukii (Diptera: Drosophilidae), trapped with combinations of wines and vinegars. </w:t>
      </w:r>
      <w:r w:rsidRPr="002B0DF8">
        <w:rPr>
          <w:rFonts w:cs="Times New Roman"/>
          <w:i/>
          <w:iCs/>
          <w:noProof/>
          <w:szCs w:val="24"/>
        </w:rPr>
        <w:t>Florida Entomologist</w:t>
      </w:r>
      <w:r w:rsidRPr="002B0DF8">
        <w:rPr>
          <w:rFonts w:cs="Times New Roman"/>
          <w:noProof/>
          <w:szCs w:val="24"/>
        </w:rPr>
        <w:t xml:space="preserve">, </w:t>
      </w:r>
      <w:r w:rsidRPr="002B0DF8">
        <w:rPr>
          <w:rFonts w:cs="Times New Roman"/>
          <w:i/>
          <w:iCs/>
          <w:noProof/>
          <w:szCs w:val="24"/>
        </w:rPr>
        <w:t>95</w:t>
      </w:r>
      <w:r w:rsidRPr="002B0DF8">
        <w:rPr>
          <w:rFonts w:cs="Times New Roman"/>
          <w:noProof/>
          <w:szCs w:val="24"/>
        </w:rPr>
        <w:t>(2), 326–332. doi:10.1653/024.095.0213</w:t>
      </w:r>
    </w:p>
    <w:p w14:paraId="4BB4BD4E"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Lawson Handley, L. (2015). How will the ‘molecular revolution’ contribute to biological recording? </w:t>
      </w:r>
      <w:r w:rsidRPr="002B0DF8">
        <w:rPr>
          <w:rFonts w:cs="Times New Roman"/>
          <w:i/>
          <w:iCs/>
          <w:noProof/>
          <w:szCs w:val="24"/>
        </w:rPr>
        <w:t>Biological Journal of the Linnean Society</w:t>
      </w:r>
      <w:r w:rsidRPr="002B0DF8">
        <w:rPr>
          <w:rFonts w:cs="Times New Roman"/>
          <w:noProof/>
          <w:szCs w:val="24"/>
        </w:rPr>
        <w:t xml:space="preserve">, </w:t>
      </w:r>
      <w:r w:rsidRPr="002B0DF8">
        <w:rPr>
          <w:rFonts w:cs="Times New Roman"/>
          <w:i/>
          <w:iCs/>
          <w:noProof/>
          <w:szCs w:val="24"/>
        </w:rPr>
        <w:t>115</w:t>
      </w:r>
      <w:r w:rsidRPr="002B0DF8">
        <w:rPr>
          <w:rFonts w:cs="Times New Roman"/>
          <w:noProof/>
          <w:szCs w:val="24"/>
        </w:rPr>
        <w:t>(3), 750–766. doi:10.1111/bij.12516</w:t>
      </w:r>
    </w:p>
    <w:p w14:paraId="6FCF3A71"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Lee, J. C., Burrack, H. J., Barrantes, L. D., Beers, E. H., Dreves, A. J., Hamby, K. A., … Bruck, D. J. (2012). Evaluation of monitoring traps for Drosophila suzukii (Diptera: Drosophilidae) in North America. </w:t>
      </w:r>
      <w:r w:rsidRPr="002B0DF8">
        <w:rPr>
          <w:rFonts w:cs="Times New Roman"/>
          <w:i/>
          <w:iCs/>
          <w:noProof/>
          <w:szCs w:val="24"/>
        </w:rPr>
        <w:t>Journal of Economic Entomology</w:t>
      </w:r>
      <w:r w:rsidRPr="002B0DF8">
        <w:rPr>
          <w:rFonts w:cs="Times New Roman"/>
          <w:noProof/>
          <w:szCs w:val="24"/>
        </w:rPr>
        <w:t xml:space="preserve">, </w:t>
      </w:r>
      <w:r w:rsidRPr="002B0DF8">
        <w:rPr>
          <w:rFonts w:cs="Times New Roman"/>
          <w:i/>
          <w:iCs/>
          <w:noProof/>
          <w:szCs w:val="24"/>
        </w:rPr>
        <w:t>105</w:t>
      </w:r>
      <w:r w:rsidRPr="002B0DF8">
        <w:rPr>
          <w:rFonts w:cs="Times New Roman"/>
          <w:noProof/>
          <w:szCs w:val="24"/>
        </w:rPr>
        <w:t>(4), 1350–1357. doi:10.1603/EC12132</w:t>
      </w:r>
    </w:p>
    <w:p w14:paraId="7C01EA79"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Lundberg, D. S., Yourstone, S., Mieczkowski, P., Jones, C. D., &amp; Dangl, J. L. (2013). Practical innovations for high-throughput amplicon sequencing. </w:t>
      </w:r>
      <w:r w:rsidRPr="002B0DF8">
        <w:rPr>
          <w:rFonts w:cs="Times New Roman"/>
          <w:i/>
          <w:iCs/>
          <w:noProof/>
          <w:szCs w:val="24"/>
        </w:rPr>
        <w:t>Nature Methods</w:t>
      </w:r>
      <w:r w:rsidRPr="002B0DF8">
        <w:rPr>
          <w:rFonts w:cs="Times New Roman"/>
          <w:noProof/>
          <w:szCs w:val="24"/>
        </w:rPr>
        <w:t xml:space="preserve">, </w:t>
      </w:r>
      <w:r w:rsidRPr="002B0DF8">
        <w:rPr>
          <w:rFonts w:cs="Times New Roman"/>
          <w:i/>
          <w:iCs/>
          <w:noProof/>
          <w:szCs w:val="24"/>
        </w:rPr>
        <w:lastRenderedPageBreak/>
        <w:t>10</w:t>
      </w:r>
      <w:r w:rsidRPr="002B0DF8">
        <w:rPr>
          <w:rFonts w:cs="Times New Roman"/>
          <w:noProof/>
          <w:szCs w:val="24"/>
        </w:rPr>
        <w:t>(10), 999–1002. doi:10.1038/nmeth.2634</w:t>
      </w:r>
    </w:p>
    <w:p w14:paraId="708D13AC"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McLaren, M. R., Willis, A. D., &amp; Callahan, B. J. (2019). Consistent and correctable bias in metagenomic sequencing measurements. </w:t>
      </w:r>
      <w:r w:rsidRPr="002B0DF8">
        <w:rPr>
          <w:rFonts w:cs="Times New Roman"/>
          <w:i/>
          <w:iCs/>
          <w:noProof/>
          <w:szCs w:val="24"/>
        </w:rPr>
        <w:t>BioRxiv</w:t>
      </w:r>
      <w:r w:rsidRPr="002B0DF8">
        <w:rPr>
          <w:rFonts w:cs="Times New Roman"/>
          <w:noProof/>
          <w:szCs w:val="24"/>
        </w:rPr>
        <w:t>, 559831. doi:10.1101/559831</w:t>
      </w:r>
    </w:p>
    <w:p w14:paraId="6F38A717"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McMurdie, P. J., &amp; Holmes, S. (2013). Phyloseq: An R Package for Reproducible Interactive Analysis and Graphics of Microbiome Census Data. </w:t>
      </w:r>
      <w:r w:rsidRPr="002B0DF8">
        <w:rPr>
          <w:rFonts w:cs="Times New Roman"/>
          <w:i/>
          <w:iCs/>
          <w:noProof/>
          <w:szCs w:val="24"/>
        </w:rPr>
        <w:t>PLoS ONE</w:t>
      </w:r>
      <w:r w:rsidRPr="002B0DF8">
        <w:rPr>
          <w:rFonts w:cs="Times New Roman"/>
          <w:noProof/>
          <w:szCs w:val="24"/>
        </w:rPr>
        <w:t xml:space="preserve">, </w:t>
      </w:r>
      <w:r w:rsidRPr="002B0DF8">
        <w:rPr>
          <w:rFonts w:cs="Times New Roman"/>
          <w:i/>
          <w:iCs/>
          <w:noProof/>
          <w:szCs w:val="24"/>
        </w:rPr>
        <w:t>8</w:t>
      </w:r>
      <w:r w:rsidRPr="002B0DF8">
        <w:rPr>
          <w:rFonts w:cs="Times New Roman"/>
          <w:noProof/>
          <w:szCs w:val="24"/>
        </w:rPr>
        <w:t>(4). doi:10.1371/journal.pone.0061217</w:t>
      </w:r>
    </w:p>
    <w:p w14:paraId="6B6F161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Murali, A., Bhargava, A., &amp; Wright, E. S. (2018). IDTAXA: a novel approach for accurate taxonomic classification of microbiome sequences. </w:t>
      </w:r>
      <w:r w:rsidRPr="002B0DF8">
        <w:rPr>
          <w:rFonts w:cs="Times New Roman"/>
          <w:i/>
          <w:iCs/>
          <w:noProof/>
          <w:szCs w:val="24"/>
        </w:rPr>
        <w:t>Microbiome</w:t>
      </w:r>
      <w:r w:rsidRPr="002B0DF8">
        <w:rPr>
          <w:rFonts w:cs="Times New Roman"/>
          <w:noProof/>
          <w:szCs w:val="24"/>
        </w:rPr>
        <w:t xml:space="preserve">, </w:t>
      </w:r>
      <w:r w:rsidRPr="002B0DF8">
        <w:rPr>
          <w:rFonts w:cs="Times New Roman"/>
          <w:i/>
          <w:iCs/>
          <w:noProof/>
          <w:szCs w:val="24"/>
        </w:rPr>
        <w:t>6</w:t>
      </w:r>
      <w:r w:rsidRPr="002B0DF8">
        <w:rPr>
          <w:rFonts w:cs="Times New Roman"/>
          <w:noProof/>
          <w:szCs w:val="24"/>
        </w:rPr>
        <w:t>(1), 140. doi:10.1186/s40168-018-0521-5</w:t>
      </w:r>
    </w:p>
    <w:p w14:paraId="1FAE55A2"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Oksanen, J., Kindt, R., Legendre, P., O’Hara, B., Stevens, M. H. H., Oksanen, M. J., &amp; Suggests, M. (2007). The vegan package. </w:t>
      </w:r>
      <w:r w:rsidRPr="002B0DF8">
        <w:rPr>
          <w:rFonts w:cs="Times New Roman"/>
          <w:i/>
          <w:iCs/>
          <w:noProof/>
          <w:szCs w:val="24"/>
        </w:rPr>
        <w:t>Community Ecology Package</w:t>
      </w:r>
      <w:r w:rsidRPr="002B0DF8">
        <w:rPr>
          <w:rFonts w:cs="Times New Roman"/>
          <w:noProof/>
          <w:szCs w:val="24"/>
        </w:rPr>
        <w:t xml:space="preserve">, </w:t>
      </w:r>
      <w:r w:rsidRPr="002B0DF8">
        <w:rPr>
          <w:rFonts w:cs="Times New Roman"/>
          <w:i/>
          <w:iCs/>
          <w:noProof/>
          <w:szCs w:val="24"/>
        </w:rPr>
        <w:t>10</w:t>
      </w:r>
      <w:r w:rsidRPr="002B0DF8">
        <w:rPr>
          <w:rFonts w:cs="Times New Roman"/>
          <w:noProof/>
          <w:szCs w:val="24"/>
        </w:rPr>
        <w:t>, 631–637.</w:t>
      </w:r>
    </w:p>
    <w:p w14:paraId="7E17D807"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Palmer, J. M., Jusino, M. A., Banik, M. T., &amp; Lindner, D. L. (2017). Non-biological synthetic spike-in controls and the AMPtk software pipeline improve fungal high throughput amplicon sequencing data. </w:t>
      </w:r>
      <w:r w:rsidRPr="002B0DF8">
        <w:rPr>
          <w:rFonts w:cs="Times New Roman"/>
          <w:i/>
          <w:iCs/>
          <w:noProof/>
          <w:szCs w:val="24"/>
        </w:rPr>
        <w:t>PeerJ</w:t>
      </w:r>
      <w:r w:rsidRPr="002B0DF8">
        <w:rPr>
          <w:rFonts w:cs="Times New Roman"/>
          <w:noProof/>
          <w:szCs w:val="24"/>
        </w:rPr>
        <w:t>, 213470. doi:10.1101/213470</w:t>
      </w:r>
    </w:p>
    <w:p w14:paraId="73C77CE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Savary, S., Willocquet, L., Pethybridge, S. J., Esker, P., McRoberts, N., &amp; Nelson, A. (2019). The global burden of pathogens and pests on major food crops. </w:t>
      </w:r>
      <w:r w:rsidRPr="002B0DF8">
        <w:rPr>
          <w:rFonts w:cs="Times New Roman"/>
          <w:i/>
          <w:iCs/>
          <w:noProof/>
          <w:szCs w:val="24"/>
        </w:rPr>
        <w:t>Nature Ecology and Evolution</w:t>
      </w:r>
      <w:r w:rsidRPr="002B0DF8">
        <w:rPr>
          <w:rFonts w:cs="Times New Roman"/>
          <w:noProof/>
          <w:szCs w:val="24"/>
        </w:rPr>
        <w:t xml:space="preserve">, </w:t>
      </w:r>
      <w:r w:rsidRPr="002B0DF8">
        <w:rPr>
          <w:rFonts w:cs="Times New Roman"/>
          <w:i/>
          <w:iCs/>
          <w:noProof/>
          <w:szCs w:val="24"/>
        </w:rPr>
        <w:t>3</w:t>
      </w:r>
      <w:r w:rsidRPr="002B0DF8">
        <w:rPr>
          <w:rFonts w:cs="Times New Roman"/>
          <w:noProof/>
          <w:szCs w:val="24"/>
        </w:rPr>
        <w:t>(3), 430–439. doi:10.1038/s41559-018-0793-y</w:t>
      </w:r>
    </w:p>
    <w:p w14:paraId="470E92CA"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Silva-Soares, N. F., Nogueira-Alves, A., Beldade, P., &amp; Mirth, C. K. (2017). Adaptation to new nutritional environments: larval performance, foraging decisions, and adult oviposition choices in Drosophila suzukii. </w:t>
      </w:r>
      <w:r w:rsidRPr="002B0DF8">
        <w:rPr>
          <w:rFonts w:cs="Times New Roman"/>
          <w:i/>
          <w:iCs/>
          <w:noProof/>
          <w:szCs w:val="24"/>
        </w:rPr>
        <w:t>BMC Ecology</w:t>
      </w:r>
      <w:r w:rsidRPr="002B0DF8">
        <w:rPr>
          <w:rFonts w:cs="Times New Roman"/>
          <w:noProof/>
          <w:szCs w:val="24"/>
        </w:rPr>
        <w:t xml:space="preserve">, </w:t>
      </w:r>
      <w:r w:rsidRPr="002B0DF8">
        <w:rPr>
          <w:rFonts w:cs="Times New Roman"/>
          <w:i/>
          <w:iCs/>
          <w:noProof/>
          <w:szCs w:val="24"/>
        </w:rPr>
        <w:t>17</w:t>
      </w:r>
      <w:r w:rsidRPr="002B0DF8">
        <w:rPr>
          <w:rFonts w:cs="Times New Roman"/>
          <w:noProof/>
          <w:szCs w:val="24"/>
        </w:rPr>
        <w:t>(1), 21. doi:10.1186/s12898-017-0131-2</w:t>
      </w:r>
    </w:p>
    <w:p w14:paraId="15221B23"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Simmons, M., Tucker, A., Chadderton, W. L., Jerde, C. L., Mahon, A. R., &amp; Taylor, E. (2016). </w:t>
      </w:r>
      <w:r w:rsidRPr="002B0DF8">
        <w:rPr>
          <w:rFonts w:cs="Times New Roman"/>
          <w:noProof/>
          <w:szCs w:val="24"/>
        </w:rPr>
        <w:lastRenderedPageBreak/>
        <w:t xml:space="preserve">Active and passive environmental DNA surveillance of aquatic invasive species. </w:t>
      </w:r>
      <w:r w:rsidRPr="002B0DF8">
        <w:rPr>
          <w:rFonts w:cs="Times New Roman"/>
          <w:i/>
          <w:iCs/>
          <w:noProof/>
          <w:szCs w:val="24"/>
        </w:rPr>
        <w:t>Canadian Journal of Fisheries and Aquatic Sciences</w:t>
      </w:r>
      <w:r w:rsidRPr="002B0DF8">
        <w:rPr>
          <w:rFonts w:cs="Times New Roman"/>
          <w:noProof/>
          <w:szCs w:val="24"/>
        </w:rPr>
        <w:t xml:space="preserve">, </w:t>
      </w:r>
      <w:r w:rsidRPr="002B0DF8">
        <w:rPr>
          <w:rFonts w:cs="Times New Roman"/>
          <w:i/>
          <w:iCs/>
          <w:noProof/>
          <w:szCs w:val="24"/>
        </w:rPr>
        <w:t>73</w:t>
      </w:r>
      <w:r w:rsidRPr="002B0DF8">
        <w:rPr>
          <w:rFonts w:cs="Times New Roman"/>
          <w:noProof/>
          <w:szCs w:val="24"/>
        </w:rPr>
        <w:t>(1), 76–83. doi:10.1139/cjfas-2015-0262</w:t>
      </w:r>
    </w:p>
    <w:p w14:paraId="5877D9B1"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Van Timmeren, S., Diepenbrock, L. M., Bertone, M. A., Burrack, H. J., &amp; Isaacs, R. (2017). A Filter Method for Improved Monitoring of Drosophila suzukii (Diptera: Drosophilidae) Larvae in Fruit. </w:t>
      </w:r>
      <w:r w:rsidRPr="002B0DF8">
        <w:rPr>
          <w:rFonts w:cs="Times New Roman"/>
          <w:i/>
          <w:iCs/>
          <w:noProof/>
          <w:szCs w:val="24"/>
        </w:rPr>
        <w:t>Journal of Integrated Pest Management</w:t>
      </w:r>
      <w:r w:rsidRPr="002B0DF8">
        <w:rPr>
          <w:rFonts w:cs="Times New Roman"/>
          <w:noProof/>
          <w:szCs w:val="24"/>
        </w:rPr>
        <w:t xml:space="preserve">, </w:t>
      </w:r>
      <w:r w:rsidRPr="002B0DF8">
        <w:rPr>
          <w:rFonts w:cs="Times New Roman"/>
          <w:i/>
          <w:iCs/>
          <w:noProof/>
          <w:szCs w:val="24"/>
        </w:rPr>
        <w:t>8</w:t>
      </w:r>
      <w:r w:rsidRPr="002B0DF8">
        <w:rPr>
          <w:rFonts w:cs="Times New Roman"/>
          <w:noProof/>
          <w:szCs w:val="24"/>
        </w:rPr>
        <w:t>(1), 1–7. doi:10.1093/jipm/pmx019</w:t>
      </w:r>
    </w:p>
    <w:p w14:paraId="08E73C30"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Wickham, H. (2017). The tidyverse. </w:t>
      </w:r>
      <w:r w:rsidRPr="002B0DF8">
        <w:rPr>
          <w:rFonts w:cs="Times New Roman"/>
          <w:i/>
          <w:iCs/>
          <w:noProof/>
          <w:szCs w:val="24"/>
        </w:rPr>
        <w:t>R Package Ver. 1.1. 1</w:t>
      </w:r>
      <w:r w:rsidRPr="002B0DF8">
        <w:rPr>
          <w:rFonts w:cs="Times New Roman"/>
          <w:noProof/>
          <w:szCs w:val="24"/>
        </w:rPr>
        <w:t>.</w:t>
      </w:r>
    </w:p>
    <w:p w14:paraId="29FCAB98" w14:textId="77777777" w:rsidR="002B0DF8" w:rsidRPr="002B0DF8" w:rsidRDefault="002B0DF8" w:rsidP="002B0DF8">
      <w:pPr>
        <w:widowControl w:val="0"/>
        <w:autoSpaceDE w:val="0"/>
        <w:autoSpaceDN w:val="0"/>
        <w:adjustRightInd w:val="0"/>
        <w:spacing w:after="160"/>
        <w:ind w:left="480" w:hanging="480"/>
        <w:rPr>
          <w:rFonts w:cs="Times New Roman"/>
          <w:noProof/>
          <w:szCs w:val="24"/>
        </w:rPr>
      </w:pPr>
      <w:r w:rsidRPr="002B0DF8">
        <w:rPr>
          <w:rFonts w:cs="Times New Roman"/>
          <w:noProof/>
          <w:szCs w:val="24"/>
        </w:rPr>
        <w:t xml:space="preserve">Wilcox, T. M., Schwartz, M. K., &amp; Lowe, W. H. (2018). Evolutionary Community Ecology: Time to Think Outside the (Taxonomic) Box. </w:t>
      </w:r>
      <w:r w:rsidRPr="002B0DF8">
        <w:rPr>
          <w:rFonts w:cs="Times New Roman"/>
          <w:i/>
          <w:iCs/>
          <w:noProof/>
          <w:szCs w:val="24"/>
        </w:rPr>
        <w:t>Trends in Ecology and Evolution</w:t>
      </w:r>
      <w:r w:rsidRPr="002B0DF8">
        <w:rPr>
          <w:rFonts w:cs="Times New Roman"/>
          <w:noProof/>
          <w:szCs w:val="24"/>
        </w:rPr>
        <w:t>, 1–11. doi:10.1016/j.tree.2018.01.014</w:t>
      </w:r>
    </w:p>
    <w:p w14:paraId="5D4FBBDC" w14:textId="77777777" w:rsidR="002B0DF8" w:rsidRPr="002B0DF8" w:rsidRDefault="002B0DF8" w:rsidP="002B0DF8">
      <w:pPr>
        <w:widowControl w:val="0"/>
        <w:autoSpaceDE w:val="0"/>
        <w:autoSpaceDN w:val="0"/>
        <w:adjustRightInd w:val="0"/>
        <w:spacing w:after="160"/>
        <w:ind w:left="480" w:hanging="480"/>
        <w:rPr>
          <w:noProof/>
        </w:rPr>
      </w:pPr>
      <w:r w:rsidRPr="002B0DF8">
        <w:rPr>
          <w:rFonts w:cs="Times New Roman"/>
          <w:noProof/>
          <w:szCs w:val="24"/>
        </w:rPr>
        <w:t xml:space="preserve">Zinger, L., Bonin, A., Alsos, I. G., Bálint, M., Bik, H., Boyer, F., … Taberlet, P. (2019). DNA metabarcoding—Need for robust experimental designs to draw sound ecological conclusions. </w:t>
      </w:r>
      <w:r w:rsidRPr="002B0DF8">
        <w:rPr>
          <w:rFonts w:cs="Times New Roman"/>
          <w:i/>
          <w:iCs/>
          <w:noProof/>
          <w:szCs w:val="24"/>
        </w:rPr>
        <w:t>Molecular Ecology</w:t>
      </w:r>
      <w:r w:rsidRPr="002B0DF8">
        <w:rPr>
          <w:rFonts w:cs="Times New Roman"/>
          <w:noProof/>
          <w:szCs w:val="24"/>
        </w:rPr>
        <w:t xml:space="preserve">, </w:t>
      </w:r>
      <w:r w:rsidRPr="002B0DF8">
        <w:rPr>
          <w:rFonts w:cs="Times New Roman"/>
          <w:i/>
          <w:iCs/>
          <w:noProof/>
          <w:szCs w:val="24"/>
        </w:rPr>
        <w:t>28</w:t>
      </w:r>
      <w:r w:rsidRPr="002B0DF8">
        <w:rPr>
          <w:rFonts w:cs="Times New Roman"/>
          <w:noProof/>
          <w:szCs w:val="24"/>
        </w:rPr>
        <w:t>(8), 1857–1862. doi:10.1111/mec.15060</w:t>
      </w:r>
    </w:p>
    <w:p w14:paraId="6065AB65" w14:textId="77777777" w:rsidR="001F6AD2" w:rsidRPr="00087CEE" w:rsidRDefault="0016608D" w:rsidP="00356EA1">
      <w:pPr>
        <w:pStyle w:val="Heading1"/>
        <w:rPr>
          <w:szCs w:val="22"/>
        </w:rPr>
      </w:pPr>
      <w:r w:rsidRPr="00087CEE">
        <w:rPr>
          <w:szCs w:val="22"/>
        </w:rPr>
        <w:fldChar w:fldCharType="end"/>
      </w:r>
    </w:p>
    <w:p w14:paraId="70E85503" w14:textId="77777777" w:rsidR="001F6AD2" w:rsidRPr="00087CEE" w:rsidRDefault="001F6AD2" w:rsidP="00356EA1">
      <w:pPr>
        <w:spacing w:after="160"/>
        <w:rPr>
          <w:rFonts w:eastAsiaTheme="majorEastAsia" w:cstheme="majorBidi"/>
          <w:color w:val="000000" w:themeColor="text1"/>
        </w:rPr>
      </w:pPr>
      <w:r w:rsidRPr="00087CEE">
        <w:br w:type="page"/>
      </w:r>
    </w:p>
    <w:p w14:paraId="47D34F89" w14:textId="77777777" w:rsidR="001F6AD2" w:rsidRPr="00087CEE" w:rsidRDefault="001F6AD2" w:rsidP="00356EA1">
      <w:pPr>
        <w:pStyle w:val="Heading1"/>
        <w:rPr>
          <w:szCs w:val="22"/>
        </w:rPr>
        <w:sectPr w:rsidR="001F6AD2" w:rsidRPr="00087CEE" w:rsidSect="00356EA1">
          <w:pgSz w:w="11906" w:h="16838"/>
          <w:pgMar w:top="1440" w:right="1440" w:bottom="1440" w:left="1440" w:header="708" w:footer="708" w:gutter="0"/>
          <w:lnNumType w:countBy="1" w:restart="continuous"/>
          <w:cols w:space="708"/>
          <w:docGrid w:linePitch="360"/>
        </w:sectPr>
      </w:pPr>
    </w:p>
    <w:p w14:paraId="3063A66B" w14:textId="77777777" w:rsidR="00897A04" w:rsidRPr="00087CEE" w:rsidRDefault="00897A04" w:rsidP="00356EA1">
      <w:pPr>
        <w:ind w:left="360"/>
      </w:pPr>
      <w:r w:rsidRPr="00087CEE">
        <w:lastRenderedPageBreak/>
        <w:t>Figures:</w:t>
      </w:r>
    </w:p>
    <w:p w14:paraId="79F42AB6" w14:textId="77777777" w:rsidR="00897A04" w:rsidRPr="00087CEE" w:rsidRDefault="00897A04" w:rsidP="00356EA1">
      <w:pPr>
        <w:pStyle w:val="ListParagraph"/>
        <w:numPr>
          <w:ilvl w:val="0"/>
          <w:numId w:val="13"/>
        </w:numPr>
      </w:pPr>
      <w:r w:rsidRPr="00087CEE">
        <w:t>In vitro test of 4 primers – PCA and Bias plot (compared to geometric mean) as multifigure (Supp?)</w:t>
      </w:r>
    </w:p>
    <w:p w14:paraId="27179223" w14:textId="77777777" w:rsidR="00897A04" w:rsidRPr="00087CEE" w:rsidRDefault="00897A04" w:rsidP="00356EA1">
      <w:pPr>
        <w:pStyle w:val="ListParagraph"/>
        <w:numPr>
          <w:ilvl w:val="0"/>
          <w:numId w:val="13"/>
        </w:numPr>
      </w:pPr>
      <w:r w:rsidRPr="00087CEE">
        <w:t>Bias of 3 modified primers (Supplementary)</w:t>
      </w:r>
    </w:p>
    <w:p w14:paraId="4E4E12AB" w14:textId="77777777" w:rsidR="00897A04" w:rsidRPr="00087CEE" w:rsidRDefault="00897A04" w:rsidP="00356EA1">
      <w:pPr>
        <w:pStyle w:val="ListParagraph"/>
        <w:numPr>
          <w:ilvl w:val="0"/>
          <w:numId w:val="13"/>
        </w:numPr>
      </w:pPr>
      <w:r w:rsidRPr="00087CEE">
        <w:t xml:space="preserve">Summary of QC statistics / detection probability for targets – Look at the relationship between detection success and total community size, species diversity, species evenness, phylogenetic diversity. Perhaps summaries of regression models here. Hopefully show decreasing detection probability with absolute community size, and not any of the others (see </w:t>
      </w:r>
      <w:proofErr w:type="spellStart"/>
      <w:r w:rsidRPr="00087CEE">
        <w:t>alberdi</w:t>
      </w:r>
      <w:proofErr w:type="spellEnd"/>
      <w:r w:rsidRPr="00087CEE">
        <w:t xml:space="preserve"> et al paper) </w:t>
      </w:r>
    </w:p>
    <w:p w14:paraId="242F0EAD" w14:textId="77777777" w:rsidR="00897A04" w:rsidRPr="00087CEE" w:rsidRDefault="00897A04" w:rsidP="00356EA1">
      <w:pPr>
        <w:pStyle w:val="ListParagraph"/>
        <w:numPr>
          <w:ilvl w:val="0"/>
          <w:numId w:val="13"/>
        </w:numPr>
      </w:pPr>
      <w:r w:rsidRPr="00087CEE">
        <w:t xml:space="preserve">Summary of Detection probability / QC statistics for entire dataset (overlap between replicates with different processing strategies, seq depth, number of ASV’s kept, numbers of reads kept through process (see </w:t>
      </w:r>
      <w:proofErr w:type="spellStart"/>
      <w:r w:rsidRPr="00087CEE">
        <w:t>alberdi</w:t>
      </w:r>
      <w:proofErr w:type="spellEnd"/>
      <w:r w:rsidRPr="00087CEE">
        <w:t xml:space="preserve"> et al scrutinizing paper for good example of </w:t>
      </w:r>
      <w:proofErr w:type="spellStart"/>
      <w:r w:rsidRPr="00087CEE">
        <w:t>multifigs</w:t>
      </w:r>
      <w:proofErr w:type="spellEnd"/>
      <w:r w:rsidRPr="00087CEE">
        <w:t xml:space="preserve"> of these)</w:t>
      </w:r>
    </w:p>
    <w:p w14:paraId="3C52D38C" w14:textId="77777777" w:rsidR="00897A04" w:rsidRPr="00087CEE" w:rsidRDefault="00897A04" w:rsidP="00356EA1">
      <w:pPr>
        <w:pStyle w:val="ListParagraph"/>
        <w:numPr>
          <w:ilvl w:val="0"/>
          <w:numId w:val="13"/>
        </w:numPr>
      </w:pPr>
      <w:r w:rsidRPr="00087CEE">
        <w:t>Heatmap of detection taxa detected across whole study (Supplementary Information)</w:t>
      </w:r>
    </w:p>
    <w:p w14:paraId="508A6D63" w14:textId="77777777" w:rsidR="00897A04" w:rsidRPr="00087CEE" w:rsidRDefault="00897A04" w:rsidP="00356EA1">
      <w:pPr>
        <w:pStyle w:val="ListParagraph"/>
        <w:numPr>
          <w:ilvl w:val="0"/>
          <w:numId w:val="13"/>
        </w:numPr>
      </w:pPr>
      <w:r w:rsidRPr="00087CEE">
        <w:t xml:space="preserve">Circular phylogeny of all species detected in the study, with metadata around the outside (Type of trap, orchard, week, number of samples) – This could also be done in a phylogeny free approach using </w:t>
      </w:r>
      <w:proofErr w:type="spellStart"/>
      <w:r w:rsidRPr="00087CEE">
        <w:t>metacoder</w:t>
      </w:r>
      <w:proofErr w:type="spellEnd"/>
      <w:r w:rsidRPr="00087CEE">
        <w:t xml:space="preserve">: </w:t>
      </w:r>
      <w:hyperlink r:id="rId13" w:history="1">
        <w:r w:rsidRPr="00087CEE">
          <w:rPr>
            <w:rStyle w:val="Hyperlink"/>
          </w:rPr>
          <w:t>https://onlinelibrary.wiley.com/doi/full/10.1111/ddi.12972</w:t>
        </w:r>
      </w:hyperlink>
    </w:p>
    <w:p w14:paraId="4916FF8B" w14:textId="6B141AE0" w:rsidR="003240D2" w:rsidRPr="00087CEE" w:rsidRDefault="00C82015" w:rsidP="00356EA1">
      <w:pPr>
        <w:spacing w:after="160"/>
      </w:pPr>
      <w:r w:rsidRPr="00087CEE">
        <w:rPr>
          <w:rFonts w:eastAsiaTheme="majorEastAsia" w:cstheme="majorBidi"/>
          <w:i/>
          <w:color w:val="000000" w:themeColor="text1"/>
        </w:rPr>
        <w:br w:type="page"/>
      </w:r>
      <w:r w:rsidR="003240D2" w:rsidRPr="00087CEE">
        <w:lastRenderedPageBreak/>
        <w:t xml:space="preserve">Figures: </w:t>
      </w:r>
    </w:p>
    <w:p w14:paraId="168526D9" w14:textId="77777777" w:rsidR="005C2213" w:rsidRDefault="005C2213" w:rsidP="005C2213">
      <w:r>
        <w:rPr>
          <w:noProof/>
        </w:rPr>
        <w:drawing>
          <wp:inline distT="0" distB="0" distL="0" distR="0" wp14:anchorId="555021DB" wp14:editId="7E2FAAA4">
            <wp:extent cx="5724525" cy="3895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0D300915" w14:textId="4562BB07" w:rsidR="005C2213" w:rsidRPr="00A74A21" w:rsidRDefault="005C2213" w:rsidP="005C2213">
      <w:commentRangeStart w:id="6"/>
      <w:r>
        <w:t xml:space="preserve">Figure </w:t>
      </w:r>
      <w:r w:rsidRPr="005C2213">
        <w:rPr>
          <w:highlight w:val="yellow"/>
        </w:rPr>
        <w:t>n</w:t>
      </w:r>
      <w:r>
        <w:t xml:space="preserve">: Top hit identity distribution from BLAST search between cleaned ASV’s and reference database, compared to IDTAXA classification with confidence threshold 60. </w:t>
      </w:r>
      <w:proofErr w:type="gramStart"/>
      <w:r w:rsidR="00366614">
        <w:t>Inset  -</w:t>
      </w:r>
      <w:proofErr w:type="gramEnd"/>
      <w:r w:rsidR="00366614">
        <w:t xml:space="preserve"> Taxonomy of sequences inferred by IDTAXA algorithm.</w:t>
      </w:r>
      <w:commentRangeEnd w:id="6"/>
      <w:r w:rsidR="0073648A">
        <w:rPr>
          <w:rStyle w:val="CommentReference"/>
        </w:rPr>
        <w:commentReference w:id="6"/>
      </w:r>
    </w:p>
    <w:p w14:paraId="06D93197" w14:textId="77777777" w:rsidR="005C2213" w:rsidRPr="00087CEE" w:rsidRDefault="005C2213" w:rsidP="005C2213">
      <w:pPr>
        <w:keepNext/>
        <w:spacing w:after="160"/>
      </w:pPr>
      <w:r w:rsidRPr="00087CEE">
        <w:t xml:space="preserve"> </w:t>
      </w:r>
    </w:p>
    <w:p w14:paraId="4C60087E" w14:textId="0D293B10" w:rsidR="00755113" w:rsidRPr="00087CEE" w:rsidRDefault="00755113" w:rsidP="00356EA1">
      <w:pPr>
        <w:keepNext/>
        <w:spacing w:after="160"/>
        <w:rPr>
          <w:noProof/>
        </w:rPr>
      </w:pPr>
    </w:p>
    <w:p w14:paraId="178DACA2" w14:textId="77777777" w:rsidR="00C82015" w:rsidRPr="00087CEE" w:rsidRDefault="00C82015" w:rsidP="00356EA1">
      <w:pPr>
        <w:keepNext/>
        <w:spacing w:after="160"/>
        <w:rPr>
          <w:noProof/>
        </w:rPr>
        <w:sectPr w:rsidR="00C82015" w:rsidRPr="00087CEE" w:rsidSect="00B514CB">
          <w:pgSz w:w="11906" w:h="16838"/>
          <w:pgMar w:top="1440" w:right="1440" w:bottom="1440" w:left="1440" w:header="709" w:footer="709" w:gutter="0"/>
          <w:cols w:space="708"/>
          <w:docGrid w:linePitch="360"/>
        </w:sectPr>
      </w:pPr>
    </w:p>
    <w:p w14:paraId="23E72EAB" w14:textId="72DCB160" w:rsidR="00755113" w:rsidRPr="00087CEE" w:rsidRDefault="00755113" w:rsidP="00356EA1">
      <w:pPr>
        <w:keepNext/>
        <w:spacing w:after="160"/>
        <w:rPr>
          <w:noProof/>
        </w:rPr>
      </w:pPr>
    </w:p>
    <w:p w14:paraId="59D4ED7E" w14:textId="77777777" w:rsidR="00755113" w:rsidRPr="00087CEE" w:rsidRDefault="00755113" w:rsidP="00356EA1">
      <w:pPr>
        <w:keepNext/>
        <w:spacing w:after="160"/>
        <w:rPr>
          <w:noProof/>
        </w:rPr>
      </w:pPr>
      <w:r w:rsidRPr="00087CEE">
        <w:rPr>
          <w:noProof/>
        </w:rPr>
        <w:drawing>
          <wp:inline distT="0" distB="0" distL="0" distR="0" wp14:anchorId="52F3C645" wp14:editId="6D0A189C">
            <wp:extent cx="5731510" cy="4057650"/>
            <wp:effectExtent l="0" t="0" r="2540" b="0"/>
            <wp:docPr id="11" name="Picture 10" descr="A close up of a map&#10;&#10;Description generated with very high confidence">
              <a:extLst xmlns:a="http://schemas.openxmlformats.org/drawingml/2006/main">
                <a:ext uri="{FF2B5EF4-FFF2-40B4-BE49-F238E27FC236}">
                  <a16:creationId xmlns:a16="http://schemas.microsoft.com/office/drawing/2014/main" id="{F8F46AE0-362E-441C-A136-6D9A74175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 up of a map&#10;&#10;Description generated with very high confidence">
                      <a:extLst>
                        <a:ext uri="{FF2B5EF4-FFF2-40B4-BE49-F238E27FC236}">
                          <a16:creationId xmlns:a16="http://schemas.microsoft.com/office/drawing/2014/main" id="{F8F46AE0-362E-441C-A136-6D9A741757E4}"/>
                        </a:ext>
                      </a:extLst>
                    </pic:cNvPr>
                    <pic:cNvPicPr>
                      <a:picLocks noChangeAspect="1"/>
                    </pic:cNvPicPr>
                  </pic:nvPicPr>
                  <pic:blipFill>
                    <a:blip r:embed="rId15"/>
                    <a:stretch>
                      <a:fillRect/>
                    </a:stretch>
                  </pic:blipFill>
                  <pic:spPr>
                    <a:xfrm>
                      <a:off x="0" y="0"/>
                      <a:ext cx="5731510" cy="4057650"/>
                    </a:xfrm>
                    <a:prstGeom prst="rect">
                      <a:avLst/>
                    </a:prstGeom>
                  </pic:spPr>
                </pic:pic>
              </a:graphicData>
            </a:graphic>
          </wp:inline>
        </w:drawing>
      </w:r>
      <w:r w:rsidRPr="00087CEE">
        <w:rPr>
          <w:noProof/>
        </w:rPr>
        <w:t xml:space="preserve"> </w:t>
      </w:r>
    </w:p>
    <w:p w14:paraId="681E9AE0" w14:textId="77777777" w:rsidR="00755113" w:rsidRPr="00087CEE" w:rsidRDefault="00755113" w:rsidP="00356EA1">
      <w:pPr>
        <w:keepNext/>
        <w:spacing w:after="160"/>
        <w:rPr>
          <w:noProof/>
        </w:rPr>
      </w:pPr>
    </w:p>
    <w:p w14:paraId="685E489E" w14:textId="091E6F28" w:rsidR="00B25585" w:rsidRPr="00087CEE" w:rsidRDefault="00755113" w:rsidP="00356EA1">
      <w:pPr>
        <w:keepNext/>
        <w:spacing w:after="160"/>
        <w:rPr>
          <w:noProof/>
        </w:rPr>
      </w:pPr>
      <w:r w:rsidRPr="00087CEE">
        <w:rPr>
          <w:noProof/>
        </w:rPr>
        <w:lastRenderedPageBreak/>
        <w:drawing>
          <wp:inline distT="0" distB="0" distL="0" distR="0" wp14:anchorId="6A18625F" wp14:editId="0524D912">
            <wp:extent cx="5560828" cy="5947240"/>
            <wp:effectExtent l="0" t="0" r="1905" b="0"/>
            <wp:docPr id="8" name="Content Placeholder 7" descr="A close up of a map&#10;&#10;Description generated with high confidence">
              <a:extLst xmlns:a="http://schemas.openxmlformats.org/drawingml/2006/main">
                <a:ext uri="{FF2B5EF4-FFF2-40B4-BE49-F238E27FC236}">
                  <a16:creationId xmlns:a16="http://schemas.microsoft.com/office/drawing/2014/main" id="{F5502F9C-F0D9-457C-A376-6131AB1A8F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map&#10;&#10;Description generated with high confidence">
                      <a:extLst>
                        <a:ext uri="{FF2B5EF4-FFF2-40B4-BE49-F238E27FC236}">
                          <a16:creationId xmlns:a16="http://schemas.microsoft.com/office/drawing/2014/main" id="{F5502F9C-F0D9-457C-A376-6131AB1A8F01}"/>
                        </a:ext>
                      </a:extLst>
                    </pic:cNvPr>
                    <pic:cNvPicPr>
                      <a:picLocks noGrp="1" noChangeAspect="1"/>
                    </pic:cNvPicPr>
                  </pic:nvPicPr>
                  <pic:blipFill>
                    <a:blip r:embed="rId16"/>
                    <a:stretch>
                      <a:fillRect/>
                    </a:stretch>
                  </pic:blipFill>
                  <pic:spPr>
                    <a:xfrm>
                      <a:off x="0" y="0"/>
                      <a:ext cx="5562685" cy="5949226"/>
                    </a:xfrm>
                    <a:prstGeom prst="rect">
                      <a:avLst/>
                    </a:prstGeom>
                  </pic:spPr>
                </pic:pic>
              </a:graphicData>
            </a:graphic>
          </wp:inline>
        </w:drawing>
      </w:r>
      <w:r w:rsidRPr="00087CEE">
        <w:rPr>
          <w:noProof/>
        </w:rPr>
        <w:t xml:space="preserve"> </w:t>
      </w:r>
      <w:r w:rsidR="00B25585" w:rsidRPr="00087CEE">
        <w:rPr>
          <w:noProof/>
        </w:rPr>
        <w:t>Figure 5- Metabarcoding analysis</w:t>
      </w:r>
      <w:r w:rsidR="002B52F5" w:rsidRPr="00087CEE">
        <w:rPr>
          <w:noProof/>
        </w:rPr>
        <w:t xml:space="preserve"> </w:t>
      </w:r>
    </w:p>
    <w:p w14:paraId="7FA7BCCB" w14:textId="77777777" w:rsidR="00B514CB" w:rsidRPr="00087CEE" w:rsidRDefault="00B514CB" w:rsidP="00B514CB">
      <w:pPr>
        <w:keepNext/>
        <w:spacing w:after="160"/>
        <w:rPr>
          <w:noProof/>
        </w:rPr>
      </w:pPr>
      <w:r w:rsidRPr="00087CEE">
        <w:rPr>
          <w:noProof/>
        </w:rPr>
        <w:lastRenderedPageBreak/>
        <w:drawing>
          <wp:inline distT="0" distB="0" distL="0" distR="0" wp14:anchorId="41E1853B" wp14:editId="03C10CB1">
            <wp:extent cx="5731510" cy="4316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6095"/>
                    </a:xfrm>
                    <a:prstGeom prst="rect">
                      <a:avLst/>
                    </a:prstGeom>
                  </pic:spPr>
                </pic:pic>
              </a:graphicData>
            </a:graphic>
          </wp:inline>
        </w:drawing>
      </w:r>
    </w:p>
    <w:p w14:paraId="2FEFEA10" w14:textId="378282A3" w:rsidR="00E71D5D" w:rsidRPr="00087CEE" w:rsidRDefault="00B514CB" w:rsidP="00B514CB">
      <w:pPr>
        <w:keepNext/>
        <w:spacing w:after="160"/>
        <w:rPr>
          <w:noProof/>
        </w:rPr>
      </w:pPr>
      <w:r w:rsidRPr="00087CEE">
        <w:rPr>
          <w:noProof/>
        </w:rPr>
        <w:t xml:space="preserve">Good example of final summary figure from </w:t>
      </w:r>
      <w:hyperlink r:id="rId18" w:history="1">
        <w:r w:rsidRPr="00087CEE">
          <w:rPr>
            <w:rStyle w:val="Hyperlink"/>
          </w:rPr>
          <w:t>https://www.biorxiv.org/content/10.1101/704759v1.full.pdf</w:t>
        </w:r>
      </w:hyperlink>
      <w:r w:rsidRPr="00087CEE">
        <w:t xml:space="preserve"> . The stats for </w:t>
      </w:r>
      <w:proofErr w:type="gramStart"/>
      <w:r w:rsidRPr="00087CEE">
        <w:t>c )</w:t>
      </w:r>
      <w:proofErr w:type="gramEnd"/>
      <w:r w:rsidRPr="00087CEE">
        <w:t xml:space="preserve">  could by richness, </w:t>
      </w:r>
      <w:proofErr w:type="spellStart"/>
      <w:r w:rsidRPr="00087CEE">
        <w:t>shannons</w:t>
      </w:r>
      <w:proofErr w:type="spellEnd"/>
      <w:r w:rsidRPr="00087CEE">
        <w:t xml:space="preserve">  diversity and faiths  PD for the different trap</w:t>
      </w:r>
    </w:p>
    <w:p w14:paraId="45033365" w14:textId="379B0D85" w:rsidR="00755113" w:rsidRPr="00087CEE" w:rsidRDefault="00755113" w:rsidP="00356EA1">
      <w:pPr>
        <w:spacing w:after="160"/>
        <w:rPr>
          <w:noProof/>
        </w:rPr>
      </w:pPr>
    </w:p>
    <w:p w14:paraId="1FB7FC9B" w14:textId="1B329BBD" w:rsidR="00E71D5D" w:rsidRPr="00087CEE" w:rsidRDefault="00E71D5D" w:rsidP="00356EA1">
      <w:pPr>
        <w:spacing w:after="160"/>
        <w:rPr>
          <w:noProof/>
        </w:rPr>
      </w:pPr>
    </w:p>
    <w:p w14:paraId="105C3DDD" w14:textId="6A4249C6" w:rsidR="00E71D5D" w:rsidRPr="00087CEE" w:rsidRDefault="00E71D5D" w:rsidP="00356EA1">
      <w:pPr>
        <w:spacing w:after="160"/>
        <w:rPr>
          <w:noProof/>
        </w:rPr>
      </w:pPr>
    </w:p>
    <w:p w14:paraId="660AC261" w14:textId="26EC54DA" w:rsidR="00B25585" w:rsidRPr="00087CEE" w:rsidRDefault="00B25585" w:rsidP="00356EA1">
      <w:pPr>
        <w:spacing w:after="160"/>
        <w:rPr>
          <w:noProof/>
        </w:rPr>
      </w:pPr>
      <w:r w:rsidRPr="00087CEE">
        <w:rPr>
          <w:noProof/>
        </w:rPr>
        <w:br w:type="page"/>
      </w:r>
    </w:p>
    <w:p w14:paraId="35966E7E" w14:textId="79E32661" w:rsidR="00F42300" w:rsidRPr="00087CEE" w:rsidRDefault="00F42300" w:rsidP="00356EA1">
      <w:pPr>
        <w:keepNext/>
        <w:spacing w:after="160"/>
      </w:pPr>
    </w:p>
    <w:p w14:paraId="6719B5F5" w14:textId="7F4F5421" w:rsidR="00F42300" w:rsidRDefault="003240D2" w:rsidP="00B514CB">
      <w:pPr>
        <w:pStyle w:val="Heading1"/>
      </w:pPr>
      <w:r w:rsidRPr="00087CEE">
        <w:t xml:space="preserve">Supplementary </w:t>
      </w:r>
      <w:r w:rsidR="00F42300" w:rsidRPr="00087CEE">
        <w:t>Figure</w:t>
      </w:r>
      <w:r w:rsidR="00675226" w:rsidRPr="00087CEE">
        <w:t>s</w:t>
      </w:r>
    </w:p>
    <w:p w14:paraId="215B646F" w14:textId="71D195C4" w:rsidR="00B514CB" w:rsidRDefault="00B514CB" w:rsidP="00B514CB">
      <w:r w:rsidRPr="00087CEE">
        <w:rPr>
          <w:noProof/>
        </w:rPr>
        <w:drawing>
          <wp:inline distT="0" distB="0" distL="0" distR="0" wp14:anchorId="02DEC1A9" wp14:editId="0221A8AF">
            <wp:extent cx="5731510" cy="4082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82415"/>
                    </a:xfrm>
                    <a:prstGeom prst="rect">
                      <a:avLst/>
                    </a:prstGeom>
                  </pic:spPr>
                </pic:pic>
              </a:graphicData>
            </a:graphic>
          </wp:inline>
        </w:drawing>
      </w:r>
    </w:p>
    <w:p w14:paraId="106B8521" w14:textId="28601F00" w:rsidR="00B514CB" w:rsidRDefault="00B514CB" w:rsidP="00B514CB">
      <w:r>
        <w:t xml:space="preserve">Supplementary figure </w:t>
      </w:r>
      <w:proofErr w:type="gramStart"/>
      <w:r w:rsidRPr="00A74A21">
        <w:rPr>
          <w:highlight w:val="yellow"/>
        </w:rPr>
        <w:t>n</w:t>
      </w:r>
      <w:r>
        <w:t xml:space="preserve"> :</w:t>
      </w:r>
      <w:proofErr w:type="gramEnd"/>
      <w:r>
        <w:t xml:space="preserve"> Drosophila total catch with each attractant by week</w:t>
      </w:r>
    </w:p>
    <w:p w14:paraId="0A921CEB" w14:textId="77777777" w:rsidR="00B514CB" w:rsidRDefault="00B514CB" w:rsidP="00B514CB"/>
    <w:p w14:paraId="52C148CC" w14:textId="61DA025C" w:rsidR="005C2213" w:rsidRDefault="005C2213" w:rsidP="005C2213">
      <w:r>
        <w:rPr>
          <w:noProof/>
        </w:rPr>
        <w:lastRenderedPageBreak/>
        <w:drawing>
          <wp:inline distT="0" distB="0" distL="0" distR="0" wp14:anchorId="6FA35F03" wp14:editId="437C15E6">
            <wp:extent cx="5457825" cy="3850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0208" cy="3852127"/>
                    </a:xfrm>
                    <a:prstGeom prst="rect">
                      <a:avLst/>
                    </a:prstGeom>
                    <a:noFill/>
                    <a:ln>
                      <a:noFill/>
                    </a:ln>
                  </pic:spPr>
                </pic:pic>
              </a:graphicData>
            </a:graphic>
          </wp:inline>
        </w:drawing>
      </w:r>
    </w:p>
    <w:p w14:paraId="256F07A9" w14:textId="1F7B643B" w:rsidR="005C2213" w:rsidRDefault="005C2213" w:rsidP="005C2213">
      <w:r>
        <w:t xml:space="preserve">Supplementary figure </w:t>
      </w:r>
      <w:proofErr w:type="gramStart"/>
      <w:r w:rsidRPr="00A74A21">
        <w:rPr>
          <w:highlight w:val="yellow"/>
        </w:rPr>
        <w:t>n</w:t>
      </w:r>
      <w:r>
        <w:t xml:space="preserve"> :</w:t>
      </w:r>
      <w:proofErr w:type="gramEnd"/>
      <w:r>
        <w:t xml:space="preserve"> Length distribution of inferred sequence variants and their abundance. (b) chimeric sequences represented a high number of unique ASV’s, (a) they however represent a low total abundance.</w:t>
      </w:r>
    </w:p>
    <w:p w14:paraId="5BC0EFB1" w14:textId="7D0F5F1E" w:rsidR="00B514CB" w:rsidRDefault="00B514CB" w:rsidP="005C2213">
      <w:r w:rsidRPr="00087CEE">
        <w:rPr>
          <w:noProof/>
        </w:rPr>
        <w:lastRenderedPageBreak/>
        <w:drawing>
          <wp:inline distT="0" distB="0" distL="0" distR="0" wp14:anchorId="18D67C94" wp14:editId="65B87F8B">
            <wp:extent cx="5731510" cy="3177540"/>
            <wp:effectExtent l="0" t="0" r="2540" b="3810"/>
            <wp:docPr id="18" name="Picture 7" descr="A close up of a map&#10;&#10;Description generated with very high confidence">
              <a:extLst xmlns:a="http://schemas.openxmlformats.org/drawingml/2006/main">
                <a:ext uri="{FF2B5EF4-FFF2-40B4-BE49-F238E27FC236}">
                  <a16:creationId xmlns:a16="http://schemas.microsoft.com/office/drawing/2014/main" id="{A7B3ECB4-7826-4380-A465-4AF6F12A7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generated with very high confidence">
                      <a:extLst>
                        <a:ext uri="{FF2B5EF4-FFF2-40B4-BE49-F238E27FC236}">
                          <a16:creationId xmlns:a16="http://schemas.microsoft.com/office/drawing/2014/main" id="{A7B3ECB4-7826-4380-A465-4AF6F12A7AAF}"/>
                        </a:ext>
                      </a:extLst>
                    </pic:cNvPr>
                    <pic:cNvPicPr>
                      <a:picLocks noChangeAspect="1"/>
                    </pic:cNvPicPr>
                  </pic:nvPicPr>
                  <pic:blipFill>
                    <a:blip r:embed="rId21"/>
                    <a:stretch>
                      <a:fillRect/>
                    </a:stretch>
                  </pic:blipFill>
                  <pic:spPr>
                    <a:xfrm>
                      <a:off x="0" y="0"/>
                      <a:ext cx="5731510" cy="3177540"/>
                    </a:xfrm>
                    <a:prstGeom prst="rect">
                      <a:avLst/>
                    </a:prstGeom>
                  </pic:spPr>
                </pic:pic>
              </a:graphicData>
            </a:graphic>
          </wp:inline>
        </w:drawing>
      </w:r>
      <w:r w:rsidRPr="00B514CB">
        <w:t xml:space="preserve"> </w:t>
      </w:r>
      <w:r>
        <w:t xml:space="preserve">Supplementary figure </w:t>
      </w:r>
      <w:proofErr w:type="gramStart"/>
      <w:r w:rsidRPr="00A74A21">
        <w:rPr>
          <w:highlight w:val="yellow"/>
        </w:rPr>
        <w:t>n</w:t>
      </w:r>
      <w:r>
        <w:t xml:space="preserve"> :</w:t>
      </w:r>
      <w:proofErr w:type="gramEnd"/>
      <w:r>
        <w:t xml:space="preserve"> Quantitative performance of 2 candidate primer sets modified with internal tag sequences for higher levels of multiplexing</w:t>
      </w:r>
    </w:p>
    <w:p w14:paraId="1EEF5952" w14:textId="77777777" w:rsidR="00B514CB" w:rsidRPr="00A74A21" w:rsidRDefault="00B514CB" w:rsidP="005C2213"/>
    <w:p w14:paraId="2BC4ACAC" w14:textId="77777777" w:rsidR="00B514CB" w:rsidRDefault="00B514CB" w:rsidP="00B514CB">
      <w:r w:rsidRPr="00087CEE">
        <w:rPr>
          <w:noProof/>
        </w:rPr>
        <w:drawing>
          <wp:inline distT="0" distB="0" distL="0" distR="0" wp14:anchorId="179BF596" wp14:editId="55293F9A">
            <wp:extent cx="5731510" cy="2913380"/>
            <wp:effectExtent l="0" t="0" r="2540" b="1270"/>
            <wp:docPr id="17" name="Picture 3" descr="A picture containing writing implement, stationary&#10;&#10;Description generated with very high confidence">
              <a:extLst xmlns:a="http://schemas.openxmlformats.org/drawingml/2006/main">
                <a:ext uri="{FF2B5EF4-FFF2-40B4-BE49-F238E27FC236}">
                  <a16:creationId xmlns:a16="http://schemas.microsoft.com/office/drawing/2014/main" id="{ACC0305E-DA82-4EF1-9F82-5E702B988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writing implement, stationary&#10;&#10;Description generated with very high confidence">
                      <a:extLst>
                        <a:ext uri="{FF2B5EF4-FFF2-40B4-BE49-F238E27FC236}">
                          <a16:creationId xmlns:a16="http://schemas.microsoft.com/office/drawing/2014/main" id="{ACC0305E-DA82-4EF1-9F82-5E702B988E81}"/>
                        </a:ext>
                      </a:extLst>
                    </pic:cNvPr>
                    <pic:cNvPicPr>
                      <a:picLocks noChangeAspect="1"/>
                    </pic:cNvPicPr>
                  </pic:nvPicPr>
                  <pic:blipFill rotWithShape="1">
                    <a:blip r:embed="rId22"/>
                    <a:srcRect b="28165"/>
                    <a:stretch/>
                  </pic:blipFill>
                  <pic:spPr>
                    <a:xfrm>
                      <a:off x="0" y="0"/>
                      <a:ext cx="5731510" cy="2913380"/>
                    </a:xfrm>
                    <a:prstGeom prst="rect">
                      <a:avLst/>
                    </a:prstGeom>
                  </pic:spPr>
                </pic:pic>
              </a:graphicData>
            </a:graphic>
          </wp:inline>
        </w:drawing>
      </w:r>
    </w:p>
    <w:p w14:paraId="332117D4" w14:textId="77777777" w:rsidR="00B514CB" w:rsidRPr="00B514CB" w:rsidRDefault="00B514CB" w:rsidP="00B514CB">
      <w:r>
        <w:t xml:space="preserve">Supplementary figure </w:t>
      </w:r>
      <w:proofErr w:type="gramStart"/>
      <w:r w:rsidRPr="00A74A21">
        <w:rPr>
          <w:highlight w:val="yellow"/>
        </w:rPr>
        <w:t>n</w:t>
      </w:r>
      <w:r>
        <w:t xml:space="preserve"> :</w:t>
      </w:r>
      <w:proofErr w:type="gramEnd"/>
      <w:r>
        <w:t xml:space="preserve"> Quantitative performance of </w:t>
      </w:r>
      <w:proofErr w:type="spellStart"/>
      <w:r>
        <w:t>SynMock</w:t>
      </w:r>
      <w:proofErr w:type="spellEnd"/>
      <w:r>
        <w:t xml:space="preserve"> positive control over a serial dilution</w:t>
      </w:r>
    </w:p>
    <w:p w14:paraId="03997F6F" w14:textId="77777777" w:rsidR="005C2213" w:rsidRPr="005C2213" w:rsidRDefault="005C2213" w:rsidP="005C2213"/>
    <w:sectPr w:rsidR="005C2213" w:rsidRPr="005C2213" w:rsidSect="00C82015">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er Piper (DEDJTR)" w:date="2020-03-17T11:03:00Z" w:initials="AP(">
    <w:p w14:paraId="4C95BE4E" w14:textId="77777777" w:rsidR="002B0DF8" w:rsidRDefault="002B0DF8">
      <w:pPr>
        <w:pStyle w:val="CommentText"/>
      </w:pPr>
      <w:r>
        <w:rPr>
          <w:rStyle w:val="CommentReference"/>
        </w:rPr>
        <w:annotationRef/>
      </w:r>
      <w:r>
        <w:t>Add:</w:t>
      </w:r>
    </w:p>
    <w:p w14:paraId="3B583C20" w14:textId="77777777" w:rsidR="002B0DF8" w:rsidRDefault="002B0DF8">
      <w:pPr>
        <w:pStyle w:val="CommentText"/>
      </w:pPr>
      <w:r>
        <w:t>Francesco – helped with the index validation</w:t>
      </w:r>
    </w:p>
    <w:p w14:paraId="5DA7F39A" w14:textId="77777777" w:rsidR="002B0DF8" w:rsidRDefault="002B0DF8">
      <w:pPr>
        <w:pStyle w:val="CommentText"/>
      </w:pPr>
      <w:r>
        <w:t>Lea – helped with the LAMP confirmation</w:t>
      </w:r>
    </w:p>
    <w:p w14:paraId="6DB24C52" w14:textId="0AFBDE86" w:rsidR="002B0DF8" w:rsidRDefault="002B0DF8">
      <w:pPr>
        <w:pStyle w:val="CommentText"/>
      </w:pPr>
      <w:r>
        <w:t>Arati?</w:t>
      </w:r>
    </w:p>
  </w:comment>
  <w:comment w:id="2" w:author="Alexander Piper (DEDJTR)" w:date="2019-09-12T13:53:00Z" w:initials="AP(">
    <w:p w14:paraId="7B4CE937" w14:textId="1569D914" w:rsidR="005C2213" w:rsidRPr="009F390C" w:rsidRDefault="005C2213" w:rsidP="009F390C">
      <w:pPr>
        <w:pStyle w:val="CommentText"/>
      </w:pPr>
      <w:r>
        <w:rPr>
          <w:rStyle w:val="CommentReference"/>
        </w:rPr>
        <w:annotationRef/>
      </w:r>
      <w:r w:rsidRPr="009F390C">
        <w:t>More appropriate to think of each sequence read ‘count’ as the probability of observing the count for each genetic fragment conditioned on the frequency of the molecule in the environment and scaled by the total sequencing depth</w:t>
      </w:r>
      <w:r>
        <w:t xml:space="preserve"> (</w:t>
      </w:r>
      <w:proofErr w:type="spellStart"/>
      <w:r>
        <w:t>gloor</w:t>
      </w:r>
      <w:proofErr w:type="spellEnd"/>
      <w:r>
        <w:t xml:space="preserve"> et al 2017)</w:t>
      </w:r>
    </w:p>
    <w:p w14:paraId="44C5DF0A" w14:textId="760A68D5" w:rsidR="005C2213" w:rsidRDefault="005C2213">
      <w:pPr>
        <w:pStyle w:val="CommentText"/>
      </w:pPr>
    </w:p>
  </w:comment>
  <w:comment w:id="4" w:author="Alexander Piper (DEDJTR) [2]" w:date="2019-07-30T21:27:00Z" w:initials="AP(">
    <w:p w14:paraId="243F1B91" w14:textId="68CFD200" w:rsidR="005C2213" w:rsidRDefault="005C2213">
      <w:pPr>
        <w:pStyle w:val="CommentText"/>
      </w:pPr>
      <w:r>
        <w:rPr>
          <w:rStyle w:val="CommentReference"/>
        </w:rPr>
        <w:annotationRef/>
      </w:r>
      <w:r>
        <w:t xml:space="preserve">First run was with 4ul of undiluted and </w:t>
      </w:r>
      <w:proofErr w:type="spellStart"/>
      <w:r>
        <w:t>overcycled</w:t>
      </w:r>
      <w:proofErr w:type="spellEnd"/>
      <w:r>
        <w:t>.</w:t>
      </w:r>
    </w:p>
    <w:p w14:paraId="1F4CDED1" w14:textId="00B9C220" w:rsidR="005C2213" w:rsidRDefault="005C2213">
      <w:pPr>
        <w:pStyle w:val="CommentText"/>
      </w:pPr>
      <w:r>
        <w:t>This run also had more than usual index switching. May want to raise this as a possible issue</w:t>
      </w:r>
    </w:p>
  </w:comment>
  <w:comment w:id="6" w:author="Alexander Piper (DEDJTR)" w:date="2020-03-13T13:44:00Z" w:initials="AP(">
    <w:p w14:paraId="7F44405E" w14:textId="77777777" w:rsidR="0073648A" w:rsidRDefault="0073648A">
      <w:pPr>
        <w:pStyle w:val="CommentText"/>
      </w:pPr>
      <w:r>
        <w:rPr>
          <w:rStyle w:val="CommentReference"/>
        </w:rPr>
        <w:annotationRef/>
      </w:r>
      <w:r>
        <w:t xml:space="preserve">This shows the IDTAXA did </w:t>
      </w:r>
      <w:proofErr w:type="gramStart"/>
      <w:r>
        <w:t>really well</w:t>
      </w:r>
      <w:proofErr w:type="gramEnd"/>
      <w:r>
        <w:t xml:space="preserve">. </w:t>
      </w:r>
      <w:proofErr w:type="spellStart"/>
      <w:r>
        <w:t>Interestngly</w:t>
      </w:r>
      <w:proofErr w:type="spellEnd"/>
      <w:r>
        <w:t xml:space="preserve"> there are some 100% matches that IDTAXA assigned to Root – explore these further</w:t>
      </w:r>
    </w:p>
    <w:p w14:paraId="07370173" w14:textId="77777777" w:rsidR="0073648A" w:rsidRDefault="0073648A">
      <w:pPr>
        <w:pStyle w:val="CommentText"/>
      </w:pPr>
    </w:p>
    <w:p w14:paraId="382A210F" w14:textId="77777777" w:rsidR="0073648A" w:rsidRDefault="0073648A">
      <w:pPr>
        <w:pStyle w:val="CommentText"/>
      </w:pPr>
      <w:r>
        <w:t xml:space="preserve">They seem to be plant pathogen sequences. Are they matching to my outgroups? </w:t>
      </w:r>
      <w:proofErr w:type="spellStart"/>
      <w:r>
        <w:t>Im</w:t>
      </w:r>
      <w:proofErr w:type="spellEnd"/>
      <w:r>
        <w:t xml:space="preserve"> </w:t>
      </w:r>
      <w:proofErr w:type="gramStart"/>
      <w:r>
        <w:t>thinking</w:t>
      </w:r>
      <w:proofErr w:type="gramEnd"/>
      <w:r>
        <w:t xml:space="preserve"> I maybe shouldn’t include any outgroups?</w:t>
      </w:r>
    </w:p>
    <w:p w14:paraId="00813DA3" w14:textId="77777777" w:rsidR="0073648A" w:rsidRDefault="0073648A">
      <w:pPr>
        <w:pStyle w:val="CommentText"/>
      </w:pPr>
    </w:p>
    <w:p w14:paraId="3F4A096E" w14:textId="4EE742CE" w:rsidR="0073648A" w:rsidRDefault="0073648A">
      <w:pPr>
        <w:pStyle w:val="CommentText"/>
      </w:pPr>
      <w:r>
        <w:t xml:space="preserve">Or are they matching to other </w:t>
      </w:r>
      <w:proofErr w:type="gramStart"/>
      <w:r>
        <w:t>sequences .Could</w:t>
      </w:r>
      <w:proofErr w:type="gramEnd"/>
      <w:r>
        <w:t xml:space="preserve"> be worth blasting </w:t>
      </w:r>
      <w:proofErr w:type="spellStart"/>
      <w:r>
        <w:t>htem</w:t>
      </w:r>
      <w:proofErr w:type="spellEnd"/>
      <w:r>
        <w:t xml:space="preserve"> locally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24C52" w15:done="0"/>
  <w15:commentEx w15:paraId="44C5DF0A" w15:done="0"/>
  <w15:commentEx w15:paraId="1F4CDED1" w15:done="0"/>
  <w15:commentEx w15:paraId="3F4A09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B24C52" w16cid:durableId="221B2D1A"/>
  <w16cid:commentId w16cid:paraId="44C5DF0A" w16cid:durableId="2124CC47"/>
  <w16cid:commentId w16cid:paraId="1F4CDED1" w16cid:durableId="20EB34D6"/>
  <w16cid:commentId w16cid:paraId="3F4A096E" w16cid:durableId="22160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FC032" w14:textId="77777777" w:rsidR="00283BD4" w:rsidRDefault="00283BD4" w:rsidP="00200AB7">
      <w:pPr>
        <w:spacing w:after="0" w:line="240" w:lineRule="auto"/>
      </w:pPr>
      <w:r>
        <w:separator/>
      </w:r>
    </w:p>
  </w:endnote>
  <w:endnote w:type="continuationSeparator" w:id="0">
    <w:p w14:paraId="5BE14970" w14:textId="77777777" w:rsidR="00283BD4" w:rsidRDefault="00283BD4" w:rsidP="00200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E6FBB" w14:textId="77777777" w:rsidR="00283BD4" w:rsidRDefault="00283BD4" w:rsidP="00200AB7">
      <w:pPr>
        <w:spacing w:after="0" w:line="240" w:lineRule="auto"/>
      </w:pPr>
      <w:r>
        <w:separator/>
      </w:r>
    </w:p>
  </w:footnote>
  <w:footnote w:type="continuationSeparator" w:id="0">
    <w:p w14:paraId="366AAEE7" w14:textId="77777777" w:rsidR="00283BD4" w:rsidRDefault="00283BD4" w:rsidP="00200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FD5"/>
    <w:multiLevelType w:val="hybridMultilevel"/>
    <w:tmpl w:val="04A6CCA6"/>
    <w:lvl w:ilvl="0" w:tplc="81180264">
      <w:start w:val="1"/>
      <w:numFmt w:val="bullet"/>
      <w:lvlText w:val="•"/>
      <w:lvlJc w:val="left"/>
      <w:pPr>
        <w:tabs>
          <w:tab w:val="num" w:pos="720"/>
        </w:tabs>
        <w:ind w:left="720" w:hanging="360"/>
      </w:pPr>
      <w:rPr>
        <w:rFonts w:ascii="Arial" w:hAnsi="Arial" w:hint="default"/>
      </w:rPr>
    </w:lvl>
    <w:lvl w:ilvl="1" w:tplc="F85814DE" w:tentative="1">
      <w:start w:val="1"/>
      <w:numFmt w:val="bullet"/>
      <w:lvlText w:val="•"/>
      <w:lvlJc w:val="left"/>
      <w:pPr>
        <w:tabs>
          <w:tab w:val="num" w:pos="1440"/>
        </w:tabs>
        <w:ind w:left="1440" w:hanging="360"/>
      </w:pPr>
      <w:rPr>
        <w:rFonts w:ascii="Arial" w:hAnsi="Arial" w:hint="default"/>
      </w:rPr>
    </w:lvl>
    <w:lvl w:ilvl="2" w:tplc="EB107788" w:tentative="1">
      <w:start w:val="1"/>
      <w:numFmt w:val="bullet"/>
      <w:lvlText w:val="•"/>
      <w:lvlJc w:val="left"/>
      <w:pPr>
        <w:tabs>
          <w:tab w:val="num" w:pos="2160"/>
        </w:tabs>
        <w:ind w:left="2160" w:hanging="360"/>
      </w:pPr>
      <w:rPr>
        <w:rFonts w:ascii="Arial" w:hAnsi="Arial" w:hint="default"/>
      </w:rPr>
    </w:lvl>
    <w:lvl w:ilvl="3" w:tplc="1C786ED4" w:tentative="1">
      <w:start w:val="1"/>
      <w:numFmt w:val="bullet"/>
      <w:lvlText w:val="•"/>
      <w:lvlJc w:val="left"/>
      <w:pPr>
        <w:tabs>
          <w:tab w:val="num" w:pos="2880"/>
        </w:tabs>
        <w:ind w:left="2880" w:hanging="360"/>
      </w:pPr>
      <w:rPr>
        <w:rFonts w:ascii="Arial" w:hAnsi="Arial" w:hint="default"/>
      </w:rPr>
    </w:lvl>
    <w:lvl w:ilvl="4" w:tplc="291A1CFC" w:tentative="1">
      <w:start w:val="1"/>
      <w:numFmt w:val="bullet"/>
      <w:lvlText w:val="•"/>
      <w:lvlJc w:val="left"/>
      <w:pPr>
        <w:tabs>
          <w:tab w:val="num" w:pos="3600"/>
        </w:tabs>
        <w:ind w:left="3600" w:hanging="360"/>
      </w:pPr>
      <w:rPr>
        <w:rFonts w:ascii="Arial" w:hAnsi="Arial" w:hint="default"/>
      </w:rPr>
    </w:lvl>
    <w:lvl w:ilvl="5" w:tplc="5E7884B2" w:tentative="1">
      <w:start w:val="1"/>
      <w:numFmt w:val="bullet"/>
      <w:lvlText w:val="•"/>
      <w:lvlJc w:val="left"/>
      <w:pPr>
        <w:tabs>
          <w:tab w:val="num" w:pos="4320"/>
        </w:tabs>
        <w:ind w:left="4320" w:hanging="360"/>
      </w:pPr>
      <w:rPr>
        <w:rFonts w:ascii="Arial" w:hAnsi="Arial" w:hint="default"/>
      </w:rPr>
    </w:lvl>
    <w:lvl w:ilvl="6" w:tplc="44F862E2" w:tentative="1">
      <w:start w:val="1"/>
      <w:numFmt w:val="bullet"/>
      <w:lvlText w:val="•"/>
      <w:lvlJc w:val="left"/>
      <w:pPr>
        <w:tabs>
          <w:tab w:val="num" w:pos="5040"/>
        </w:tabs>
        <w:ind w:left="5040" w:hanging="360"/>
      </w:pPr>
      <w:rPr>
        <w:rFonts w:ascii="Arial" w:hAnsi="Arial" w:hint="default"/>
      </w:rPr>
    </w:lvl>
    <w:lvl w:ilvl="7" w:tplc="E41CB334" w:tentative="1">
      <w:start w:val="1"/>
      <w:numFmt w:val="bullet"/>
      <w:lvlText w:val="•"/>
      <w:lvlJc w:val="left"/>
      <w:pPr>
        <w:tabs>
          <w:tab w:val="num" w:pos="5760"/>
        </w:tabs>
        <w:ind w:left="5760" w:hanging="360"/>
      </w:pPr>
      <w:rPr>
        <w:rFonts w:ascii="Arial" w:hAnsi="Arial" w:hint="default"/>
      </w:rPr>
    </w:lvl>
    <w:lvl w:ilvl="8" w:tplc="5A0E52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26FAD"/>
    <w:multiLevelType w:val="hybridMultilevel"/>
    <w:tmpl w:val="2BCE0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91864C3"/>
    <w:multiLevelType w:val="hybridMultilevel"/>
    <w:tmpl w:val="D7F8F0F2"/>
    <w:lvl w:ilvl="0" w:tplc="E13C70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3B641C"/>
    <w:multiLevelType w:val="hybridMultilevel"/>
    <w:tmpl w:val="1908A432"/>
    <w:lvl w:ilvl="0" w:tplc="B560B652">
      <w:start w:val="1"/>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49113E"/>
    <w:multiLevelType w:val="hybridMultilevel"/>
    <w:tmpl w:val="4960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A1680"/>
    <w:multiLevelType w:val="hybridMultilevel"/>
    <w:tmpl w:val="DC7E8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6876B84"/>
    <w:multiLevelType w:val="hybridMultilevel"/>
    <w:tmpl w:val="BCFED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1AA354F"/>
    <w:multiLevelType w:val="hybridMultilevel"/>
    <w:tmpl w:val="C20E0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305B4B"/>
    <w:multiLevelType w:val="hybridMultilevel"/>
    <w:tmpl w:val="202CBB4E"/>
    <w:lvl w:ilvl="0" w:tplc="0C09000F">
      <w:start w:val="1"/>
      <w:numFmt w:val="decimal"/>
      <w:lvlText w:val="%1."/>
      <w:lvlJc w:val="left"/>
      <w:pPr>
        <w:ind w:left="643" w:hanging="360"/>
      </w:p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9" w15:restartNumberingAfterBreak="0">
    <w:nsid w:val="59E156BD"/>
    <w:multiLevelType w:val="hybridMultilevel"/>
    <w:tmpl w:val="CF72E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23197C"/>
    <w:multiLevelType w:val="hybridMultilevel"/>
    <w:tmpl w:val="AD90D96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66FA3FD4"/>
    <w:multiLevelType w:val="hybridMultilevel"/>
    <w:tmpl w:val="C3702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1A1A1C"/>
    <w:multiLevelType w:val="hybridMultilevel"/>
    <w:tmpl w:val="BABE82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4"/>
  </w:num>
  <w:num w:numId="5">
    <w:abstractNumId w:val="2"/>
  </w:num>
  <w:num w:numId="6">
    <w:abstractNumId w:val="3"/>
  </w:num>
  <w:num w:numId="7">
    <w:abstractNumId w:val="12"/>
  </w:num>
  <w:num w:numId="8">
    <w:abstractNumId w:val="9"/>
  </w:num>
  <w:num w:numId="9">
    <w:abstractNumId w:val="0"/>
  </w:num>
  <w:num w:numId="10">
    <w:abstractNumId w:val="6"/>
  </w:num>
  <w:num w:numId="11">
    <w:abstractNumId w:val="7"/>
  </w:num>
  <w:num w:numId="12">
    <w:abstractNumId w:val="5"/>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Piper (DEDJTR)">
    <w15:presenceInfo w15:providerId="AD" w15:userId="S::alexander.piper@agriculture.vic.gov.au::03115bc2-e66c-46c3-b298-a253ec77423b"/>
  </w15:person>
  <w15:person w15:author="Alexander Piper (DEDJTR) [2]">
    <w15:presenceInfo w15:providerId="AD" w15:userId="S-1-5-21-3009471437-2678356326-1117381816-155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0FD"/>
    <w:rsid w:val="00001C9C"/>
    <w:rsid w:val="00002FDC"/>
    <w:rsid w:val="00013D4D"/>
    <w:rsid w:val="00026AF5"/>
    <w:rsid w:val="00036278"/>
    <w:rsid w:val="000362F5"/>
    <w:rsid w:val="00042207"/>
    <w:rsid w:val="0005075D"/>
    <w:rsid w:val="00065A22"/>
    <w:rsid w:val="000663D4"/>
    <w:rsid w:val="00067F09"/>
    <w:rsid w:val="00086116"/>
    <w:rsid w:val="00087CEE"/>
    <w:rsid w:val="000A05DF"/>
    <w:rsid w:val="000D4A95"/>
    <w:rsid w:val="000E0286"/>
    <w:rsid w:val="000F243D"/>
    <w:rsid w:val="0011424E"/>
    <w:rsid w:val="0011741B"/>
    <w:rsid w:val="00126D48"/>
    <w:rsid w:val="001321D7"/>
    <w:rsid w:val="0013295D"/>
    <w:rsid w:val="00163545"/>
    <w:rsid w:val="0016608D"/>
    <w:rsid w:val="001C0F8C"/>
    <w:rsid w:val="001C4185"/>
    <w:rsid w:val="001D1C6C"/>
    <w:rsid w:val="001D4544"/>
    <w:rsid w:val="001E0BAF"/>
    <w:rsid w:val="001E6DF2"/>
    <w:rsid w:val="001F218C"/>
    <w:rsid w:val="001F6AD2"/>
    <w:rsid w:val="00200AB7"/>
    <w:rsid w:val="002111BD"/>
    <w:rsid w:val="002208E4"/>
    <w:rsid w:val="002279F2"/>
    <w:rsid w:val="00234E9D"/>
    <w:rsid w:val="0025491E"/>
    <w:rsid w:val="00264513"/>
    <w:rsid w:val="00271582"/>
    <w:rsid w:val="002834F5"/>
    <w:rsid w:val="00283BD4"/>
    <w:rsid w:val="00290934"/>
    <w:rsid w:val="0029315A"/>
    <w:rsid w:val="00294882"/>
    <w:rsid w:val="00295554"/>
    <w:rsid w:val="002961A2"/>
    <w:rsid w:val="002971B5"/>
    <w:rsid w:val="002A26DE"/>
    <w:rsid w:val="002B0DF8"/>
    <w:rsid w:val="002B52F5"/>
    <w:rsid w:val="002B572C"/>
    <w:rsid w:val="002C342C"/>
    <w:rsid w:val="002C6035"/>
    <w:rsid w:val="002D7DB7"/>
    <w:rsid w:val="002F5EE3"/>
    <w:rsid w:val="003212B5"/>
    <w:rsid w:val="003240D2"/>
    <w:rsid w:val="00326F56"/>
    <w:rsid w:val="00333D38"/>
    <w:rsid w:val="00336218"/>
    <w:rsid w:val="0035354C"/>
    <w:rsid w:val="00356EA1"/>
    <w:rsid w:val="00366614"/>
    <w:rsid w:val="003709A0"/>
    <w:rsid w:val="00371A54"/>
    <w:rsid w:val="00373873"/>
    <w:rsid w:val="00382DBC"/>
    <w:rsid w:val="00390EF4"/>
    <w:rsid w:val="00392337"/>
    <w:rsid w:val="003B1776"/>
    <w:rsid w:val="003B7D5D"/>
    <w:rsid w:val="003C24A7"/>
    <w:rsid w:val="003D1543"/>
    <w:rsid w:val="003D7EB9"/>
    <w:rsid w:val="003E22A7"/>
    <w:rsid w:val="003E30FD"/>
    <w:rsid w:val="003F55FB"/>
    <w:rsid w:val="00406364"/>
    <w:rsid w:val="004100D0"/>
    <w:rsid w:val="00410732"/>
    <w:rsid w:val="00412D52"/>
    <w:rsid w:val="00415B94"/>
    <w:rsid w:val="00425C54"/>
    <w:rsid w:val="00433DC2"/>
    <w:rsid w:val="00434FBD"/>
    <w:rsid w:val="0044025F"/>
    <w:rsid w:val="0044100F"/>
    <w:rsid w:val="004457DC"/>
    <w:rsid w:val="00447F6F"/>
    <w:rsid w:val="00451BE9"/>
    <w:rsid w:val="00454FDC"/>
    <w:rsid w:val="0045614D"/>
    <w:rsid w:val="004626C8"/>
    <w:rsid w:val="00482A2C"/>
    <w:rsid w:val="0049153C"/>
    <w:rsid w:val="00491B3B"/>
    <w:rsid w:val="00497A38"/>
    <w:rsid w:val="004C1E3D"/>
    <w:rsid w:val="004D7A8F"/>
    <w:rsid w:val="004E2B4F"/>
    <w:rsid w:val="004F28F3"/>
    <w:rsid w:val="00506C71"/>
    <w:rsid w:val="00523660"/>
    <w:rsid w:val="005267E9"/>
    <w:rsid w:val="00540665"/>
    <w:rsid w:val="00557FC7"/>
    <w:rsid w:val="00591314"/>
    <w:rsid w:val="00591671"/>
    <w:rsid w:val="005A3D78"/>
    <w:rsid w:val="005B16C7"/>
    <w:rsid w:val="005C2168"/>
    <w:rsid w:val="005C2213"/>
    <w:rsid w:val="005C31C7"/>
    <w:rsid w:val="005D3676"/>
    <w:rsid w:val="005D39F3"/>
    <w:rsid w:val="005E2B22"/>
    <w:rsid w:val="00606A17"/>
    <w:rsid w:val="00616C4C"/>
    <w:rsid w:val="00623BB5"/>
    <w:rsid w:val="00634438"/>
    <w:rsid w:val="006407DB"/>
    <w:rsid w:val="00675226"/>
    <w:rsid w:val="00685265"/>
    <w:rsid w:val="00693476"/>
    <w:rsid w:val="006A519B"/>
    <w:rsid w:val="006B31DB"/>
    <w:rsid w:val="006B4C4B"/>
    <w:rsid w:val="006B54D9"/>
    <w:rsid w:val="006C4191"/>
    <w:rsid w:val="006D3986"/>
    <w:rsid w:val="006D522A"/>
    <w:rsid w:val="006E39D6"/>
    <w:rsid w:val="006E7149"/>
    <w:rsid w:val="006F1460"/>
    <w:rsid w:val="00717929"/>
    <w:rsid w:val="007244B2"/>
    <w:rsid w:val="007244E0"/>
    <w:rsid w:val="0073648A"/>
    <w:rsid w:val="00740751"/>
    <w:rsid w:val="007460EA"/>
    <w:rsid w:val="00746D9C"/>
    <w:rsid w:val="0074769C"/>
    <w:rsid w:val="00751ADA"/>
    <w:rsid w:val="00753A97"/>
    <w:rsid w:val="00755113"/>
    <w:rsid w:val="00786BAC"/>
    <w:rsid w:val="00790571"/>
    <w:rsid w:val="007B73B1"/>
    <w:rsid w:val="007C2A19"/>
    <w:rsid w:val="007D0B48"/>
    <w:rsid w:val="007F43BE"/>
    <w:rsid w:val="0081753C"/>
    <w:rsid w:val="00822477"/>
    <w:rsid w:val="00833927"/>
    <w:rsid w:val="00835E63"/>
    <w:rsid w:val="008564E3"/>
    <w:rsid w:val="0085777C"/>
    <w:rsid w:val="0086572C"/>
    <w:rsid w:val="00870A6A"/>
    <w:rsid w:val="00880568"/>
    <w:rsid w:val="00881D16"/>
    <w:rsid w:val="00884CFF"/>
    <w:rsid w:val="00885286"/>
    <w:rsid w:val="00886794"/>
    <w:rsid w:val="0089755C"/>
    <w:rsid w:val="00897A04"/>
    <w:rsid w:val="008B6020"/>
    <w:rsid w:val="008C6874"/>
    <w:rsid w:val="008C6B63"/>
    <w:rsid w:val="008D200A"/>
    <w:rsid w:val="008E0B5A"/>
    <w:rsid w:val="008F03D5"/>
    <w:rsid w:val="008F4C85"/>
    <w:rsid w:val="00903C10"/>
    <w:rsid w:val="00926A89"/>
    <w:rsid w:val="0093462D"/>
    <w:rsid w:val="00934A24"/>
    <w:rsid w:val="0093562E"/>
    <w:rsid w:val="009447B6"/>
    <w:rsid w:val="00944B8B"/>
    <w:rsid w:val="0095316D"/>
    <w:rsid w:val="00955572"/>
    <w:rsid w:val="00955ABB"/>
    <w:rsid w:val="00962D94"/>
    <w:rsid w:val="00962DD4"/>
    <w:rsid w:val="0097156D"/>
    <w:rsid w:val="00994125"/>
    <w:rsid w:val="00997DCC"/>
    <w:rsid w:val="009B7FF2"/>
    <w:rsid w:val="009C07D8"/>
    <w:rsid w:val="009C5D88"/>
    <w:rsid w:val="009D0923"/>
    <w:rsid w:val="009D4087"/>
    <w:rsid w:val="009E3F51"/>
    <w:rsid w:val="009E4BA4"/>
    <w:rsid w:val="009E620B"/>
    <w:rsid w:val="009F2997"/>
    <w:rsid w:val="009F390C"/>
    <w:rsid w:val="00A02AAA"/>
    <w:rsid w:val="00A04E08"/>
    <w:rsid w:val="00A07E4B"/>
    <w:rsid w:val="00A12B58"/>
    <w:rsid w:val="00A17066"/>
    <w:rsid w:val="00A31F0B"/>
    <w:rsid w:val="00A432FB"/>
    <w:rsid w:val="00A45177"/>
    <w:rsid w:val="00A459C0"/>
    <w:rsid w:val="00A51BEA"/>
    <w:rsid w:val="00A71499"/>
    <w:rsid w:val="00A74A21"/>
    <w:rsid w:val="00AA6D02"/>
    <w:rsid w:val="00AA7302"/>
    <w:rsid w:val="00AD0C99"/>
    <w:rsid w:val="00AE2CC8"/>
    <w:rsid w:val="00B131B5"/>
    <w:rsid w:val="00B229DE"/>
    <w:rsid w:val="00B254A6"/>
    <w:rsid w:val="00B25585"/>
    <w:rsid w:val="00B514CB"/>
    <w:rsid w:val="00B93B10"/>
    <w:rsid w:val="00BA0E97"/>
    <w:rsid w:val="00BA4A02"/>
    <w:rsid w:val="00BA4BEA"/>
    <w:rsid w:val="00BA588C"/>
    <w:rsid w:val="00BB54F7"/>
    <w:rsid w:val="00BC1250"/>
    <w:rsid w:val="00BC3E01"/>
    <w:rsid w:val="00BF24C1"/>
    <w:rsid w:val="00BF4F05"/>
    <w:rsid w:val="00C145F5"/>
    <w:rsid w:val="00C15DB6"/>
    <w:rsid w:val="00C23635"/>
    <w:rsid w:val="00C26713"/>
    <w:rsid w:val="00C32C37"/>
    <w:rsid w:val="00C66280"/>
    <w:rsid w:val="00C80080"/>
    <w:rsid w:val="00C82015"/>
    <w:rsid w:val="00C87CD4"/>
    <w:rsid w:val="00CA353C"/>
    <w:rsid w:val="00CA36FA"/>
    <w:rsid w:val="00CA4711"/>
    <w:rsid w:val="00CB324B"/>
    <w:rsid w:val="00CB6749"/>
    <w:rsid w:val="00CC2E0C"/>
    <w:rsid w:val="00CC7405"/>
    <w:rsid w:val="00CD06B0"/>
    <w:rsid w:val="00CE6FC6"/>
    <w:rsid w:val="00CF10E7"/>
    <w:rsid w:val="00CF441B"/>
    <w:rsid w:val="00D05371"/>
    <w:rsid w:val="00D158D8"/>
    <w:rsid w:val="00D26940"/>
    <w:rsid w:val="00D345E6"/>
    <w:rsid w:val="00DC03C3"/>
    <w:rsid w:val="00DD0B26"/>
    <w:rsid w:val="00DD4490"/>
    <w:rsid w:val="00DD6BB7"/>
    <w:rsid w:val="00DD6D78"/>
    <w:rsid w:val="00DE0840"/>
    <w:rsid w:val="00DF3C0B"/>
    <w:rsid w:val="00E056CC"/>
    <w:rsid w:val="00E178F6"/>
    <w:rsid w:val="00E30F00"/>
    <w:rsid w:val="00E325F6"/>
    <w:rsid w:val="00E33E6A"/>
    <w:rsid w:val="00E446A3"/>
    <w:rsid w:val="00E454CC"/>
    <w:rsid w:val="00E54E13"/>
    <w:rsid w:val="00E61A66"/>
    <w:rsid w:val="00E71D5D"/>
    <w:rsid w:val="00E75388"/>
    <w:rsid w:val="00E76830"/>
    <w:rsid w:val="00E7748E"/>
    <w:rsid w:val="00EF043C"/>
    <w:rsid w:val="00F025E6"/>
    <w:rsid w:val="00F11C83"/>
    <w:rsid w:val="00F1672D"/>
    <w:rsid w:val="00F16C1F"/>
    <w:rsid w:val="00F26BE8"/>
    <w:rsid w:val="00F42300"/>
    <w:rsid w:val="00F50D17"/>
    <w:rsid w:val="00F522FD"/>
    <w:rsid w:val="00F5714D"/>
    <w:rsid w:val="00F7177B"/>
    <w:rsid w:val="00F81B3D"/>
    <w:rsid w:val="00FA3638"/>
    <w:rsid w:val="00FA5BD2"/>
    <w:rsid w:val="00FB182B"/>
    <w:rsid w:val="00FB496F"/>
    <w:rsid w:val="00FD20BC"/>
    <w:rsid w:val="00FE14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D73D"/>
  <w15:chartTrackingRefBased/>
  <w15:docId w15:val="{7394B5CE-13A3-47DA-B3E2-3A5708FE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356EA1"/>
    <w:pPr>
      <w:spacing w:after="200" w:line="480" w:lineRule="auto"/>
    </w:pPr>
    <w:rPr>
      <w:rFonts w:ascii="Lora" w:hAnsi="Lora"/>
    </w:rPr>
  </w:style>
  <w:style w:type="paragraph" w:styleId="Heading1">
    <w:name w:val="heading 1"/>
    <w:basedOn w:val="Normal"/>
    <w:next w:val="Normal"/>
    <w:link w:val="Heading1Char"/>
    <w:uiPriority w:val="9"/>
    <w:qFormat/>
    <w:rsid w:val="00356EA1"/>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56EA1"/>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CB32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2E0C"/>
    <w:pPr>
      <w:ind w:left="720"/>
      <w:contextualSpacing/>
    </w:pPr>
  </w:style>
  <w:style w:type="character" w:styleId="Hyperlink">
    <w:name w:val="Hyperlink"/>
    <w:basedOn w:val="DefaultParagraphFont"/>
    <w:uiPriority w:val="99"/>
    <w:unhideWhenUsed/>
    <w:rsid w:val="00CC2E0C"/>
    <w:rPr>
      <w:color w:val="0000FF"/>
      <w:u w:val="single"/>
    </w:rPr>
  </w:style>
  <w:style w:type="character" w:customStyle="1" w:styleId="UnresolvedMention1">
    <w:name w:val="Unresolved Mention1"/>
    <w:basedOn w:val="DefaultParagraphFont"/>
    <w:uiPriority w:val="99"/>
    <w:semiHidden/>
    <w:unhideWhenUsed/>
    <w:rsid w:val="00DC03C3"/>
    <w:rPr>
      <w:color w:val="808080"/>
      <w:shd w:val="clear" w:color="auto" w:fill="E6E6E6"/>
    </w:rPr>
  </w:style>
  <w:style w:type="paragraph" w:styleId="Caption">
    <w:name w:val="caption"/>
    <w:basedOn w:val="Normal"/>
    <w:next w:val="Normal"/>
    <w:uiPriority w:val="35"/>
    <w:unhideWhenUsed/>
    <w:qFormat/>
    <w:rsid w:val="00634438"/>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26713"/>
    <w:rPr>
      <w:color w:val="954F72" w:themeColor="followedHyperlink"/>
      <w:u w:val="single"/>
    </w:rPr>
  </w:style>
  <w:style w:type="character" w:styleId="CommentReference">
    <w:name w:val="annotation reference"/>
    <w:basedOn w:val="DefaultParagraphFont"/>
    <w:uiPriority w:val="99"/>
    <w:semiHidden/>
    <w:unhideWhenUsed/>
    <w:rsid w:val="0044025F"/>
    <w:rPr>
      <w:sz w:val="16"/>
      <w:szCs w:val="16"/>
    </w:rPr>
  </w:style>
  <w:style w:type="paragraph" w:styleId="CommentText">
    <w:name w:val="annotation text"/>
    <w:basedOn w:val="Normal"/>
    <w:link w:val="CommentTextChar"/>
    <w:uiPriority w:val="99"/>
    <w:unhideWhenUsed/>
    <w:rsid w:val="0044025F"/>
    <w:pPr>
      <w:spacing w:line="240" w:lineRule="auto"/>
    </w:pPr>
    <w:rPr>
      <w:sz w:val="20"/>
      <w:szCs w:val="20"/>
    </w:rPr>
  </w:style>
  <w:style w:type="character" w:customStyle="1" w:styleId="CommentTextChar">
    <w:name w:val="Comment Text Char"/>
    <w:basedOn w:val="DefaultParagraphFont"/>
    <w:link w:val="CommentText"/>
    <w:uiPriority w:val="99"/>
    <w:rsid w:val="0044025F"/>
    <w:rPr>
      <w:sz w:val="20"/>
      <w:szCs w:val="20"/>
    </w:rPr>
  </w:style>
  <w:style w:type="paragraph" w:styleId="CommentSubject">
    <w:name w:val="annotation subject"/>
    <w:basedOn w:val="CommentText"/>
    <w:next w:val="CommentText"/>
    <w:link w:val="CommentSubjectChar"/>
    <w:uiPriority w:val="99"/>
    <w:semiHidden/>
    <w:unhideWhenUsed/>
    <w:rsid w:val="0044025F"/>
    <w:rPr>
      <w:b/>
      <w:bCs/>
    </w:rPr>
  </w:style>
  <w:style w:type="character" w:customStyle="1" w:styleId="CommentSubjectChar">
    <w:name w:val="Comment Subject Char"/>
    <w:basedOn w:val="CommentTextChar"/>
    <w:link w:val="CommentSubject"/>
    <w:uiPriority w:val="99"/>
    <w:semiHidden/>
    <w:rsid w:val="0044025F"/>
    <w:rPr>
      <w:b/>
      <w:bCs/>
      <w:sz w:val="20"/>
      <w:szCs w:val="20"/>
    </w:rPr>
  </w:style>
  <w:style w:type="paragraph" w:styleId="BalloonText">
    <w:name w:val="Balloon Text"/>
    <w:basedOn w:val="Normal"/>
    <w:link w:val="BalloonTextChar"/>
    <w:uiPriority w:val="99"/>
    <w:semiHidden/>
    <w:unhideWhenUsed/>
    <w:rsid w:val="00440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25F"/>
    <w:rPr>
      <w:rFonts w:ascii="Segoe UI" w:hAnsi="Segoe UI" w:cs="Segoe UI"/>
      <w:sz w:val="18"/>
      <w:szCs w:val="18"/>
    </w:rPr>
  </w:style>
  <w:style w:type="character" w:customStyle="1" w:styleId="Heading1Char">
    <w:name w:val="Heading 1 Char"/>
    <w:basedOn w:val="DefaultParagraphFont"/>
    <w:link w:val="Heading1"/>
    <w:uiPriority w:val="9"/>
    <w:rsid w:val="00356EA1"/>
    <w:rPr>
      <w:rFonts w:ascii="Lora" w:eastAsiaTheme="majorEastAsia" w:hAnsi="Lora" w:cstheme="majorBidi"/>
      <w:b/>
      <w:color w:val="000000" w:themeColor="text1"/>
      <w:sz w:val="24"/>
      <w:szCs w:val="32"/>
    </w:rPr>
  </w:style>
  <w:style w:type="character" w:customStyle="1" w:styleId="Heading2Char">
    <w:name w:val="Heading 2 Char"/>
    <w:basedOn w:val="DefaultParagraphFont"/>
    <w:link w:val="Heading2"/>
    <w:uiPriority w:val="9"/>
    <w:rsid w:val="00356EA1"/>
    <w:rPr>
      <w:rFonts w:ascii="Lora" w:eastAsiaTheme="majorEastAsia" w:hAnsi="Lora" w:cstheme="majorBidi"/>
      <w:i/>
      <w:color w:val="000000" w:themeColor="text1"/>
      <w:szCs w:val="26"/>
    </w:rPr>
  </w:style>
  <w:style w:type="character" w:styleId="UnresolvedMention">
    <w:name w:val="Unresolved Mention"/>
    <w:basedOn w:val="DefaultParagraphFont"/>
    <w:uiPriority w:val="99"/>
    <w:rsid w:val="002A26DE"/>
    <w:rPr>
      <w:color w:val="605E5C"/>
      <w:shd w:val="clear" w:color="auto" w:fill="E1DFDD"/>
    </w:rPr>
  </w:style>
  <w:style w:type="character" w:styleId="Emphasis">
    <w:name w:val="Emphasis"/>
    <w:basedOn w:val="DefaultParagraphFont"/>
    <w:uiPriority w:val="20"/>
    <w:qFormat/>
    <w:rsid w:val="002A26DE"/>
    <w:rPr>
      <w:i/>
      <w:iCs/>
    </w:rPr>
  </w:style>
  <w:style w:type="table" w:styleId="TableGrid">
    <w:name w:val="Table Grid"/>
    <w:basedOn w:val="TableNormal"/>
    <w:uiPriority w:val="39"/>
    <w:rsid w:val="00E0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selection">
    <w:name w:val="current-selection"/>
    <w:basedOn w:val="DefaultParagraphFont"/>
    <w:rsid w:val="007D0B48"/>
  </w:style>
  <w:style w:type="paragraph" w:styleId="NoSpacing">
    <w:name w:val="No Spacing"/>
    <w:uiPriority w:val="1"/>
    <w:qFormat/>
    <w:rsid w:val="001F6AD2"/>
    <w:pPr>
      <w:spacing w:after="0" w:line="240" w:lineRule="auto"/>
    </w:pPr>
    <w:rPr>
      <w:rFonts w:ascii="Garamond" w:hAnsi="Garamond"/>
      <w:sz w:val="24"/>
    </w:rPr>
  </w:style>
  <w:style w:type="character" w:customStyle="1" w:styleId="Heading3Char">
    <w:name w:val="Heading 3 Char"/>
    <w:basedOn w:val="DefaultParagraphFont"/>
    <w:link w:val="Heading3"/>
    <w:uiPriority w:val="9"/>
    <w:rsid w:val="00CB324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AB7"/>
    <w:rPr>
      <w:rFonts w:ascii="Garamond" w:hAnsi="Garamond"/>
      <w:sz w:val="24"/>
    </w:rPr>
  </w:style>
  <w:style w:type="paragraph" w:styleId="Footer">
    <w:name w:val="footer"/>
    <w:basedOn w:val="Normal"/>
    <w:link w:val="FooterChar"/>
    <w:uiPriority w:val="99"/>
    <w:unhideWhenUsed/>
    <w:rsid w:val="002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AB7"/>
    <w:rPr>
      <w:rFonts w:ascii="Garamond" w:hAnsi="Garamond"/>
      <w:sz w:val="24"/>
    </w:rPr>
  </w:style>
  <w:style w:type="character" w:customStyle="1" w:styleId="author">
    <w:name w:val="author"/>
    <w:basedOn w:val="DefaultParagraphFont"/>
    <w:rsid w:val="00126D48"/>
  </w:style>
  <w:style w:type="character" w:customStyle="1" w:styleId="articletitle">
    <w:name w:val="articletitle"/>
    <w:basedOn w:val="DefaultParagraphFont"/>
    <w:rsid w:val="00126D48"/>
  </w:style>
  <w:style w:type="character" w:customStyle="1" w:styleId="pubyear">
    <w:name w:val="pubyear"/>
    <w:basedOn w:val="DefaultParagraphFont"/>
    <w:rsid w:val="00126D48"/>
  </w:style>
  <w:style w:type="character" w:customStyle="1" w:styleId="vol">
    <w:name w:val="vol"/>
    <w:basedOn w:val="DefaultParagraphFont"/>
    <w:rsid w:val="00126D48"/>
  </w:style>
  <w:style w:type="character" w:customStyle="1" w:styleId="pagefirst">
    <w:name w:val="pagefirst"/>
    <w:basedOn w:val="DefaultParagraphFont"/>
    <w:rsid w:val="00126D48"/>
  </w:style>
  <w:style w:type="character" w:customStyle="1" w:styleId="pagelast">
    <w:name w:val="pagelast"/>
    <w:basedOn w:val="DefaultParagraphFont"/>
    <w:rsid w:val="00126D48"/>
  </w:style>
  <w:style w:type="character" w:styleId="LineNumber">
    <w:name w:val="line number"/>
    <w:basedOn w:val="DefaultParagraphFont"/>
    <w:uiPriority w:val="99"/>
    <w:semiHidden/>
    <w:unhideWhenUsed/>
    <w:rsid w:val="00356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729829">
      <w:bodyDiv w:val="1"/>
      <w:marLeft w:val="0"/>
      <w:marRight w:val="0"/>
      <w:marTop w:val="0"/>
      <w:marBottom w:val="0"/>
      <w:divBdr>
        <w:top w:val="none" w:sz="0" w:space="0" w:color="auto"/>
        <w:left w:val="none" w:sz="0" w:space="0" w:color="auto"/>
        <w:bottom w:val="none" w:sz="0" w:space="0" w:color="auto"/>
        <w:right w:val="none" w:sz="0" w:space="0" w:color="auto"/>
      </w:divBdr>
    </w:div>
    <w:div w:id="580405564">
      <w:bodyDiv w:val="1"/>
      <w:marLeft w:val="0"/>
      <w:marRight w:val="0"/>
      <w:marTop w:val="0"/>
      <w:marBottom w:val="0"/>
      <w:divBdr>
        <w:top w:val="none" w:sz="0" w:space="0" w:color="auto"/>
        <w:left w:val="none" w:sz="0" w:space="0" w:color="auto"/>
        <w:bottom w:val="none" w:sz="0" w:space="0" w:color="auto"/>
        <w:right w:val="none" w:sz="0" w:space="0" w:color="auto"/>
      </w:divBdr>
      <w:divsChild>
        <w:div w:id="547497621">
          <w:marLeft w:val="360"/>
          <w:marRight w:val="0"/>
          <w:marTop w:val="200"/>
          <w:marBottom w:val="0"/>
          <w:divBdr>
            <w:top w:val="none" w:sz="0" w:space="0" w:color="auto"/>
            <w:left w:val="none" w:sz="0" w:space="0" w:color="auto"/>
            <w:bottom w:val="none" w:sz="0" w:space="0" w:color="auto"/>
            <w:right w:val="none" w:sz="0" w:space="0" w:color="auto"/>
          </w:divBdr>
        </w:div>
      </w:divsChild>
    </w:div>
    <w:div w:id="1202598678">
      <w:bodyDiv w:val="1"/>
      <w:marLeft w:val="0"/>
      <w:marRight w:val="0"/>
      <w:marTop w:val="0"/>
      <w:marBottom w:val="0"/>
      <w:divBdr>
        <w:top w:val="none" w:sz="0" w:space="0" w:color="auto"/>
        <w:left w:val="none" w:sz="0" w:space="0" w:color="auto"/>
        <w:bottom w:val="none" w:sz="0" w:space="0" w:color="auto"/>
        <w:right w:val="none" w:sz="0" w:space="0" w:color="auto"/>
      </w:divBdr>
    </w:div>
    <w:div w:id="1232229858">
      <w:bodyDiv w:val="1"/>
      <w:marLeft w:val="0"/>
      <w:marRight w:val="0"/>
      <w:marTop w:val="0"/>
      <w:marBottom w:val="0"/>
      <w:divBdr>
        <w:top w:val="none" w:sz="0" w:space="0" w:color="auto"/>
        <w:left w:val="none" w:sz="0" w:space="0" w:color="auto"/>
        <w:bottom w:val="none" w:sz="0" w:space="0" w:color="auto"/>
        <w:right w:val="none" w:sz="0" w:space="0" w:color="auto"/>
      </w:divBdr>
    </w:div>
    <w:div w:id="1310285544">
      <w:bodyDiv w:val="1"/>
      <w:marLeft w:val="0"/>
      <w:marRight w:val="0"/>
      <w:marTop w:val="0"/>
      <w:marBottom w:val="0"/>
      <w:divBdr>
        <w:top w:val="none" w:sz="0" w:space="0" w:color="auto"/>
        <w:left w:val="none" w:sz="0" w:space="0" w:color="auto"/>
        <w:bottom w:val="none" w:sz="0" w:space="0" w:color="auto"/>
        <w:right w:val="none" w:sz="0" w:space="0" w:color="auto"/>
      </w:divBdr>
    </w:div>
    <w:div w:id="1496603473">
      <w:bodyDiv w:val="1"/>
      <w:marLeft w:val="0"/>
      <w:marRight w:val="0"/>
      <w:marTop w:val="0"/>
      <w:marBottom w:val="0"/>
      <w:divBdr>
        <w:top w:val="none" w:sz="0" w:space="0" w:color="auto"/>
        <w:left w:val="none" w:sz="0" w:space="0" w:color="auto"/>
        <w:bottom w:val="none" w:sz="0" w:space="0" w:color="auto"/>
        <w:right w:val="none" w:sz="0" w:space="0" w:color="auto"/>
      </w:divBdr>
    </w:div>
    <w:div w:id="1546671357">
      <w:bodyDiv w:val="1"/>
      <w:marLeft w:val="0"/>
      <w:marRight w:val="0"/>
      <w:marTop w:val="0"/>
      <w:marBottom w:val="0"/>
      <w:divBdr>
        <w:top w:val="none" w:sz="0" w:space="0" w:color="auto"/>
        <w:left w:val="none" w:sz="0" w:space="0" w:color="auto"/>
        <w:bottom w:val="none" w:sz="0" w:space="0" w:color="auto"/>
        <w:right w:val="none" w:sz="0" w:space="0" w:color="auto"/>
      </w:divBdr>
    </w:div>
    <w:div w:id="1591692685">
      <w:bodyDiv w:val="1"/>
      <w:marLeft w:val="0"/>
      <w:marRight w:val="0"/>
      <w:marTop w:val="0"/>
      <w:marBottom w:val="0"/>
      <w:divBdr>
        <w:top w:val="none" w:sz="0" w:space="0" w:color="auto"/>
        <w:left w:val="none" w:sz="0" w:space="0" w:color="auto"/>
        <w:bottom w:val="none" w:sz="0" w:space="0" w:color="auto"/>
        <w:right w:val="none" w:sz="0" w:space="0" w:color="auto"/>
      </w:divBdr>
    </w:div>
    <w:div w:id="189222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full/10.1111/ddi.12972" TargetMode="External"/><Relationship Id="rId18" Type="http://schemas.openxmlformats.org/officeDocument/2006/relationships/hyperlink" Target="https://www.biorxiv.org/content/10.1101/704759v1.full.pdf"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alexpiper/Drosophila_metabarcodin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xander.piper@agriculture.vic.gov.au"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1DE9E-8B72-4F25-828C-6AD2B30C0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9414</TotalTime>
  <Pages>29</Pages>
  <Words>20898</Words>
  <Characters>119123</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Piper (DEDJTR)</dc:creator>
  <cp:keywords/>
  <dc:description/>
  <cp:lastModifiedBy>Alexander Piper (DEDJTR)</cp:lastModifiedBy>
  <cp:revision>39</cp:revision>
  <cp:lastPrinted>2019-08-01T03:03:00Z</cp:lastPrinted>
  <dcterms:created xsi:type="dcterms:W3CDTF">2019-11-01T03:14:00Z</dcterms:created>
  <dcterms:modified xsi:type="dcterms:W3CDTF">2020-03-17T00:24:00Z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http://www.zotero.org/styles/gigascience</vt:lpwstr>
  </property>
  <property fmtid="{D5CDD505-2E9C-101B-9397-08002B2CF9AE}" pid="7" name="Mendeley Recent Style Name 2_1">
    <vt:lpwstr>GigaScience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c37c3ecb-94c0-38fb-8a9c-f34cd9d9fe1b</vt:lpwstr>
  </property>
  <property fmtid="{D5CDD505-2E9C-101B-9397-08002B2CF9AE}" pid="24" name="Mendeley Citation Style_1">
    <vt:lpwstr>http://www.zotero.org/styles/methods-in-ecology-and-evolution</vt:lpwstr>
  </property>
</Properties>
</file>