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426BF" w14:textId="195DE36D" w:rsidR="00886794" w:rsidRPr="00E33E6A" w:rsidRDefault="001259FD" w:rsidP="001259FD">
      <w:pPr>
        <w:spacing w:line="360" w:lineRule="auto"/>
        <w:rPr>
          <w:rFonts w:ascii="Lora" w:hAnsi="Lora"/>
          <w:b/>
          <w:sz w:val="22"/>
        </w:rPr>
      </w:pPr>
      <w:r>
        <w:rPr>
          <w:rFonts w:ascii="Lora" w:hAnsi="Lora"/>
          <w:b/>
          <w:sz w:val="22"/>
        </w:rPr>
        <w:t>In-silico validation of a broad-spectrum metabarcoding assay for insect pest diagnostics.</w:t>
      </w:r>
    </w:p>
    <w:p w14:paraId="57EDC82F" w14:textId="0CA9F5B6" w:rsidR="00CC2E0C" w:rsidRPr="00E33E6A" w:rsidRDefault="00CC2E0C" w:rsidP="0016608D">
      <w:pPr>
        <w:spacing w:line="360" w:lineRule="auto"/>
        <w:rPr>
          <w:rFonts w:ascii="Lora" w:hAnsi="Lora"/>
          <w:sz w:val="22"/>
          <w:vertAlign w:val="superscript"/>
        </w:rPr>
      </w:pPr>
      <w:commentRangeStart w:id="0"/>
      <w:r w:rsidRPr="00E33E6A">
        <w:rPr>
          <w:rFonts w:ascii="Lora" w:hAnsi="Lora"/>
          <w:sz w:val="22"/>
        </w:rPr>
        <w:t>Alexander M. Piper</w:t>
      </w:r>
      <w:r w:rsidRPr="00E33E6A">
        <w:rPr>
          <w:rFonts w:ascii="Lora" w:hAnsi="Lora"/>
          <w:sz w:val="22"/>
          <w:vertAlign w:val="superscript"/>
        </w:rPr>
        <w:t>1,</w:t>
      </w:r>
      <w:r w:rsidR="00E056CC" w:rsidRPr="00E33E6A">
        <w:rPr>
          <w:rFonts w:ascii="Lora" w:hAnsi="Lora"/>
          <w:sz w:val="22"/>
          <w:vertAlign w:val="superscript"/>
        </w:rPr>
        <w:t>2</w:t>
      </w:r>
      <w:r w:rsidR="00E056CC" w:rsidRPr="00E33E6A">
        <w:rPr>
          <w:rFonts w:ascii="Lora" w:hAnsi="Lora"/>
          <w:sz w:val="22"/>
        </w:rPr>
        <w:t>,</w:t>
      </w:r>
      <w:r w:rsidR="000F243D" w:rsidRPr="00E33E6A">
        <w:rPr>
          <w:rFonts w:ascii="Lora" w:hAnsi="Lora"/>
          <w:sz w:val="22"/>
        </w:rPr>
        <w:t xml:space="preserve"> </w:t>
      </w:r>
      <w:r w:rsidR="0049153C" w:rsidRPr="00E33E6A">
        <w:rPr>
          <w:rFonts w:ascii="Lora" w:hAnsi="Lora"/>
          <w:sz w:val="22"/>
        </w:rPr>
        <w:t>Paul Cunningham</w:t>
      </w:r>
      <w:r w:rsidR="0049153C" w:rsidRPr="00E33E6A">
        <w:rPr>
          <w:rFonts w:ascii="Lora" w:hAnsi="Lora"/>
          <w:sz w:val="22"/>
          <w:vertAlign w:val="superscript"/>
        </w:rPr>
        <w:t>1</w:t>
      </w:r>
      <w:r w:rsidR="0049153C" w:rsidRPr="00E33E6A">
        <w:rPr>
          <w:rFonts w:ascii="Lora" w:hAnsi="Lora"/>
          <w:sz w:val="22"/>
        </w:rPr>
        <w:t xml:space="preserve">, </w:t>
      </w:r>
      <w:r w:rsidR="006C4191" w:rsidRPr="00E33E6A">
        <w:rPr>
          <w:rFonts w:ascii="Lora" w:hAnsi="Lora"/>
          <w:sz w:val="22"/>
        </w:rPr>
        <w:t>Noel O.I. Cogan</w:t>
      </w:r>
      <w:r w:rsidR="0049153C" w:rsidRPr="00E33E6A">
        <w:rPr>
          <w:rFonts w:ascii="Lora" w:hAnsi="Lora"/>
          <w:sz w:val="22"/>
          <w:vertAlign w:val="superscript"/>
        </w:rPr>
        <w:t>1,2</w:t>
      </w:r>
      <w:r w:rsidR="006C4191" w:rsidRPr="00E33E6A">
        <w:rPr>
          <w:rFonts w:ascii="Lora" w:hAnsi="Lora"/>
          <w:sz w:val="22"/>
        </w:rPr>
        <w:t>,</w:t>
      </w:r>
      <w:r w:rsidRPr="00E33E6A">
        <w:rPr>
          <w:rFonts w:ascii="Lora" w:hAnsi="Lora"/>
          <w:sz w:val="22"/>
        </w:rPr>
        <w:t xml:space="preserve"> Mark J. Blacket</w:t>
      </w:r>
      <w:r w:rsidRPr="00E33E6A">
        <w:rPr>
          <w:rFonts w:ascii="Lora" w:hAnsi="Lora"/>
          <w:sz w:val="22"/>
          <w:vertAlign w:val="superscript"/>
        </w:rPr>
        <w:t>1</w:t>
      </w:r>
      <w:commentRangeEnd w:id="0"/>
      <w:r w:rsidR="00886794">
        <w:rPr>
          <w:rStyle w:val="CommentReference"/>
        </w:rPr>
        <w:commentReference w:id="0"/>
      </w:r>
    </w:p>
    <w:p w14:paraId="58258E56" w14:textId="77777777" w:rsidR="00CC2E0C" w:rsidRPr="00E33E6A" w:rsidRDefault="00CC2E0C" w:rsidP="0016608D">
      <w:pPr>
        <w:spacing w:line="360" w:lineRule="auto"/>
        <w:rPr>
          <w:rFonts w:ascii="Lora" w:hAnsi="Lora"/>
          <w:sz w:val="22"/>
        </w:rPr>
      </w:pPr>
      <w:r w:rsidRPr="00E33E6A">
        <w:rPr>
          <w:rFonts w:ascii="Lora" w:hAnsi="Lora"/>
          <w:sz w:val="22"/>
          <w:vertAlign w:val="superscript"/>
        </w:rPr>
        <w:t xml:space="preserve">1 </w:t>
      </w:r>
      <w:r w:rsidRPr="00E33E6A">
        <w:rPr>
          <w:rFonts w:ascii="Lora" w:hAnsi="Lora"/>
          <w:sz w:val="22"/>
        </w:rPr>
        <w:t xml:space="preserve">Agriculture Victoria Research, </w:t>
      </w:r>
      <w:proofErr w:type="spellStart"/>
      <w:r w:rsidRPr="00E33E6A">
        <w:rPr>
          <w:rFonts w:ascii="Lora" w:hAnsi="Lora"/>
          <w:sz w:val="22"/>
        </w:rPr>
        <w:t>AgriBio</w:t>
      </w:r>
      <w:proofErr w:type="spellEnd"/>
      <w:r w:rsidRPr="00E33E6A">
        <w:rPr>
          <w:rFonts w:ascii="Lora" w:hAnsi="Lora"/>
          <w:sz w:val="22"/>
        </w:rPr>
        <w:t>, Bundoora, Victoria, Australia</w:t>
      </w:r>
    </w:p>
    <w:p w14:paraId="33D25C39" w14:textId="77777777" w:rsidR="00CC2E0C" w:rsidRPr="00E33E6A" w:rsidRDefault="00CC2E0C" w:rsidP="0016608D">
      <w:pPr>
        <w:spacing w:line="360" w:lineRule="auto"/>
        <w:rPr>
          <w:rFonts w:ascii="Lora" w:hAnsi="Lora"/>
          <w:sz w:val="22"/>
        </w:rPr>
      </w:pPr>
      <w:r w:rsidRPr="00E33E6A">
        <w:rPr>
          <w:rFonts w:ascii="Lora" w:hAnsi="Lora"/>
          <w:sz w:val="22"/>
          <w:vertAlign w:val="superscript"/>
        </w:rPr>
        <w:t>2</w:t>
      </w:r>
      <w:r w:rsidRPr="00E33E6A">
        <w:rPr>
          <w:rFonts w:ascii="Lora" w:hAnsi="Lora"/>
          <w:sz w:val="22"/>
        </w:rPr>
        <w:t xml:space="preserve"> School of Applied Systems Biology, La Trobe University, Bundoora, Victoria, Australia</w:t>
      </w:r>
    </w:p>
    <w:p w14:paraId="028BCFEF" w14:textId="77777777" w:rsidR="00CC2E0C" w:rsidRPr="00E33E6A" w:rsidRDefault="00CC2E0C" w:rsidP="0016608D">
      <w:pPr>
        <w:spacing w:line="360" w:lineRule="auto"/>
        <w:rPr>
          <w:rFonts w:ascii="Lora" w:hAnsi="Lora"/>
          <w:b/>
          <w:sz w:val="22"/>
        </w:rPr>
      </w:pPr>
      <w:r w:rsidRPr="00E33E6A">
        <w:rPr>
          <w:rFonts w:ascii="Lora" w:hAnsi="Lora"/>
          <w:b/>
          <w:sz w:val="22"/>
        </w:rPr>
        <w:t>Corresponding author:</w:t>
      </w:r>
    </w:p>
    <w:p w14:paraId="48B4B833" w14:textId="77777777" w:rsidR="00CC2E0C" w:rsidRPr="00E33E6A" w:rsidRDefault="00CC2E0C" w:rsidP="0016608D">
      <w:pPr>
        <w:spacing w:line="360" w:lineRule="auto"/>
        <w:ind w:left="720"/>
        <w:rPr>
          <w:rFonts w:ascii="Lora" w:hAnsi="Lora"/>
          <w:b/>
          <w:sz w:val="22"/>
        </w:rPr>
      </w:pPr>
      <w:r w:rsidRPr="00E33E6A">
        <w:rPr>
          <w:rFonts w:ascii="Lora" w:hAnsi="Lora"/>
          <w:b/>
          <w:sz w:val="22"/>
        </w:rPr>
        <w:t>Alexander M. Piper</w:t>
      </w:r>
    </w:p>
    <w:p w14:paraId="2D9ECE6D" w14:textId="42FADA86" w:rsidR="000F243D" w:rsidRPr="00E33E6A" w:rsidRDefault="00CC2E0C" w:rsidP="000F243D">
      <w:pPr>
        <w:spacing w:line="360" w:lineRule="auto"/>
        <w:ind w:left="720"/>
        <w:rPr>
          <w:rFonts w:ascii="Lora" w:hAnsi="Lora"/>
          <w:color w:val="0000FF"/>
          <w:sz w:val="22"/>
          <w:u w:val="single"/>
        </w:rPr>
      </w:pPr>
      <w:r w:rsidRPr="00E33E6A">
        <w:rPr>
          <w:rFonts w:ascii="Lora" w:hAnsi="Lora"/>
          <w:sz w:val="22"/>
        </w:rPr>
        <w:t>Email:</w:t>
      </w:r>
      <w:bookmarkStart w:id="1" w:name="_Hlk15485095"/>
      <w:r w:rsidRPr="00E33E6A">
        <w:rPr>
          <w:rFonts w:ascii="Lora" w:hAnsi="Lora"/>
          <w:sz w:val="22"/>
        </w:rPr>
        <w:t xml:space="preserve"> </w:t>
      </w:r>
      <w:hyperlink r:id="rId11" w:history="1">
        <w:r w:rsidR="006B4C4B" w:rsidRPr="00E33E6A">
          <w:rPr>
            <w:rStyle w:val="Hyperlink"/>
            <w:rFonts w:ascii="Lora" w:hAnsi="Lora"/>
            <w:sz w:val="22"/>
          </w:rPr>
          <w:t>alexander.piper@agriculture.vic.gov.au</w:t>
        </w:r>
      </w:hyperlink>
      <w:bookmarkEnd w:id="1"/>
    </w:p>
    <w:p w14:paraId="09D97DFC" w14:textId="2CC13F66" w:rsidR="000F243D" w:rsidRPr="00E33E6A" w:rsidRDefault="000F243D" w:rsidP="000F243D">
      <w:pPr>
        <w:spacing w:before="240" w:line="360" w:lineRule="auto"/>
        <w:jc w:val="both"/>
        <w:rPr>
          <w:rFonts w:ascii="Lora" w:hAnsi="Lora" w:cstheme="minorHAnsi"/>
          <w:sz w:val="22"/>
        </w:rPr>
      </w:pPr>
      <w:r w:rsidRPr="00E33E6A">
        <w:rPr>
          <w:rFonts w:ascii="Lora" w:hAnsi="Lora" w:cstheme="minorHAnsi"/>
          <w:b/>
          <w:sz w:val="22"/>
        </w:rPr>
        <w:t xml:space="preserve">Running title: </w:t>
      </w:r>
      <w:r w:rsidRPr="00E33E6A">
        <w:rPr>
          <w:rFonts w:ascii="Lora" w:hAnsi="Lora" w:cstheme="minorHAnsi"/>
          <w:sz w:val="22"/>
        </w:rPr>
        <w:t>Metabarcoding for insect pest detection</w:t>
      </w:r>
    </w:p>
    <w:p w14:paraId="45CC5F06" w14:textId="77777777" w:rsidR="00CC2E0C" w:rsidRPr="00E33E6A" w:rsidRDefault="00CC2E0C" w:rsidP="0016608D">
      <w:pPr>
        <w:spacing w:line="360" w:lineRule="auto"/>
        <w:rPr>
          <w:rFonts w:ascii="Lora" w:hAnsi="Lora"/>
          <w:b/>
          <w:sz w:val="22"/>
        </w:rPr>
      </w:pPr>
      <w:r w:rsidRPr="00E33E6A">
        <w:rPr>
          <w:rFonts w:ascii="Lora" w:hAnsi="Lora"/>
          <w:b/>
          <w:sz w:val="22"/>
        </w:rPr>
        <w:t xml:space="preserve">Target journal: </w:t>
      </w:r>
    </w:p>
    <w:p w14:paraId="3DCE23A6" w14:textId="159C4EE3" w:rsidR="009C14C2" w:rsidRPr="009C14C2" w:rsidRDefault="009C14C2" w:rsidP="009C14C2">
      <w:pPr>
        <w:pStyle w:val="ListParagraph"/>
        <w:numPr>
          <w:ilvl w:val="0"/>
          <w:numId w:val="1"/>
        </w:numPr>
        <w:spacing w:line="360" w:lineRule="auto"/>
        <w:rPr>
          <w:rFonts w:ascii="Lora" w:hAnsi="Lora"/>
          <w:sz w:val="22"/>
        </w:rPr>
      </w:pPr>
      <w:r w:rsidRPr="00E33E6A">
        <w:rPr>
          <w:rFonts w:ascii="Lora" w:hAnsi="Lora"/>
          <w:sz w:val="22"/>
        </w:rPr>
        <w:t>Molecular Ecology Resources</w:t>
      </w:r>
    </w:p>
    <w:p w14:paraId="4950F66A" w14:textId="620D9305" w:rsidR="001C4185" w:rsidRPr="00E33E6A" w:rsidRDefault="001C4185" w:rsidP="001C4185">
      <w:pPr>
        <w:pStyle w:val="ListParagraph"/>
        <w:numPr>
          <w:ilvl w:val="0"/>
          <w:numId w:val="1"/>
        </w:numPr>
        <w:spacing w:line="360" w:lineRule="auto"/>
        <w:rPr>
          <w:rFonts w:ascii="Lora" w:hAnsi="Lora"/>
          <w:sz w:val="22"/>
        </w:rPr>
      </w:pPr>
      <w:r w:rsidRPr="00E33E6A">
        <w:rPr>
          <w:rFonts w:ascii="Lora" w:hAnsi="Lora"/>
          <w:sz w:val="22"/>
        </w:rPr>
        <w:t>Methods in Ecology and Evolution</w:t>
      </w:r>
    </w:p>
    <w:p w14:paraId="7192944E" w14:textId="288B07B9" w:rsidR="00926A89" w:rsidRDefault="00E54E13" w:rsidP="0016608D">
      <w:pPr>
        <w:pStyle w:val="ListParagraph"/>
        <w:numPr>
          <w:ilvl w:val="0"/>
          <w:numId w:val="1"/>
        </w:numPr>
        <w:spacing w:line="360" w:lineRule="auto"/>
        <w:rPr>
          <w:rFonts w:ascii="Lora" w:hAnsi="Lora"/>
          <w:sz w:val="22"/>
        </w:rPr>
      </w:pPr>
      <w:r w:rsidRPr="00E33E6A">
        <w:rPr>
          <w:rFonts w:ascii="Lora" w:hAnsi="Lora"/>
          <w:sz w:val="22"/>
        </w:rPr>
        <w:t>Scientific Reports</w:t>
      </w:r>
    </w:p>
    <w:p w14:paraId="691E4BB6" w14:textId="3AA96D97" w:rsidR="00926A89" w:rsidRPr="009C14C2" w:rsidRDefault="009C14C2" w:rsidP="00AE7310">
      <w:pPr>
        <w:pStyle w:val="ListParagraph"/>
        <w:numPr>
          <w:ilvl w:val="0"/>
          <w:numId w:val="1"/>
        </w:numPr>
        <w:spacing w:line="360" w:lineRule="auto"/>
        <w:rPr>
          <w:rFonts w:ascii="Lora" w:hAnsi="Lora"/>
          <w:sz w:val="22"/>
        </w:rPr>
      </w:pPr>
      <w:proofErr w:type="spellStart"/>
      <w:r w:rsidRPr="009C14C2">
        <w:rPr>
          <w:rFonts w:ascii="Lora" w:hAnsi="Lora"/>
          <w:sz w:val="22"/>
        </w:rPr>
        <w:t>PeerJ</w:t>
      </w:r>
      <w:proofErr w:type="spellEnd"/>
    </w:p>
    <w:p w14:paraId="5C26E4CC" w14:textId="6391AB51" w:rsidR="00926A89" w:rsidRDefault="00926A89" w:rsidP="00AE7310">
      <w:pPr>
        <w:spacing w:after="160" w:line="259" w:lineRule="auto"/>
        <w:rPr>
          <w:rFonts w:ascii="Lora" w:hAnsi="Lora"/>
          <w:sz w:val="22"/>
        </w:rPr>
      </w:pPr>
      <w:r>
        <w:rPr>
          <w:rFonts w:ascii="Lora" w:hAnsi="Lora"/>
          <w:sz w:val="22"/>
        </w:rPr>
        <w:t>Figures:</w:t>
      </w:r>
    </w:p>
    <w:p w14:paraId="750E6AB2" w14:textId="29C12491" w:rsidR="00926A89" w:rsidRPr="00AA7302" w:rsidRDefault="001E0BAF" w:rsidP="00926A89">
      <w:pPr>
        <w:pStyle w:val="ListParagraph"/>
        <w:numPr>
          <w:ilvl w:val="0"/>
          <w:numId w:val="13"/>
        </w:numPr>
        <w:spacing w:line="360" w:lineRule="auto"/>
        <w:rPr>
          <w:rFonts w:ascii="Lora" w:hAnsi="Lora"/>
          <w:sz w:val="22"/>
          <w:highlight w:val="green"/>
        </w:rPr>
      </w:pPr>
      <w:r w:rsidRPr="00AA7302">
        <w:rPr>
          <w:rFonts w:ascii="Lora" w:hAnsi="Lora"/>
          <w:sz w:val="22"/>
          <w:highlight w:val="green"/>
        </w:rPr>
        <w:t xml:space="preserve">Upset plot of species overlap between </w:t>
      </w:r>
      <w:proofErr w:type="spellStart"/>
      <w:r w:rsidRPr="00AA7302">
        <w:rPr>
          <w:rFonts w:ascii="Lora" w:hAnsi="Lora"/>
          <w:sz w:val="22"/>
          <w:highlight w:val="green"/>
        </w:rPr>
        <w:t>pestlist</w:t>
      </w:r>
      <w:proofErr w:type="spellEnd"/>
      <w:r w:rsidRPr="00AA7302">
        <w:rPr>
          <w:rFonts w:ascii="Lora" w:hAnsi="Lora"/>
          <w:sz w:val="22"/>
          <w:highlight w:val="green"/>
        </w:rPr>
        <w:t xml:space="preserve"> datasets</w:t>
      </w:r>
      <w:r w:rsidR="001E34C8">
        <w:rPr>
          <w:rFonts w:ascii="Lora" w:hAnsi="Lora"/>
          <w:sz w:val="22"/>
          <w:highlight w:val="green"/>
        </w:rPr>
        <w:t xml:space="preserve"> – Could also include PCA of differences between datasets</w:t>
      </w:r>
    </w:p>
    <w:p w14:paraId="7B77D247" w14:textId="72ADC525" w:rsidR="001F218C" w:rsidRDefault="001F218C" w:rsidP="00926A89">
      <w:pPr>
        <w:pStyle w:val="ListParagraph"/>
        <w:numPr>
          <w:ilvl w:val="0"/>
          <w:numId w:val="13"/>
        </w:numPr>
        <w:spacing w:line="360" w:lineRule="auto"/>
        <w:rPr>
          <w:rFonts w:ascii="Lora" w:hAnsi="Lora"/>
          <w:sz w:val="22"/>
          <w:highlight w:val="green"/>
        </w:rPr>
      </w:pPr>
      <w:r w:rsidRPr="00CA353C">
        <w:rPr>
          <w:rFonts w:ascii="Lora" w:hAnsi="Lora"/>
          <w:sz w:val="22"/>
          <w:highlight w:val="green"/>
        </w:rPr>
        <w:t>Summary of sequences / Unique species kept through dataset filtering. Need to write out at each stage? (Supplementary)</w:t>
      </w:r>
      <w:r w:rsidR="005C31C7" w:rsidRPr="00CA353C">
        <w:rPr>
          <w:rFonts w:ascii="Lora" w:hAnsi="Lora"/>
          <w:sz w:val="22"/>
          <w:highlight w:val="green"/>
        </w:rPr>
        <w:t xml:space="preserve"> – Have some icons for the different stages (</w:t>
      </w:r>
      <w:proofErr w:type="spellStart"/>
      <w:r w:rsidR="005C31C7" w:rsidRPr="00CA353C">
        <w:rPr>
          <w:rFonts w:ascii="Lora" w:hAnsi="Lora"/>
          <w:sz w:val="22"/>
          <w:highlight w:val="green"/>
        </w:rPr>
        <w:t>ie</w:t>
      </w:r>
      <w:proofErr w:type="spellEnd"/>
      <w:r w:rsidR="005C31C7" w:rsidRPr="00CA353C">
        <w:rPr>
          <w:rFonts w:ascii="Lora" w:hAnsi="Lora"/>
          <w:sz w:val="22"/>
          <w:highlight w:val="green"/>
        </w:rPr>
        <w:t xml:space="preserve"> </w:t>
      </w:r>
      <w:proofErr w:type="spellStart"/>
      <w:r w:rsidR="005C31C7" w:rsidRPr="00CA353C">
        <w:rPr>
          <w:rFonts w:ascii="Lora" w:hAnsi="Lora"/>
          <w:sz w:val="22"/>
          <w:highlight w:val="green"/>
        </w:rPr>
        <w:t>phmm</w:t>
      </w:r>
      <w:proofErr w:type="spellEnd"/>
      <w:r w:rsidR="005C31C7" w:rsidRPr="00CA353C">
        <w:rPr>
          <w:rFonts w:ascii="Lora" w:hAnsi="Lora"/>
          <w:sz w:val="22"/>
          <w:highlight w:val="green"/>
        </w:rPr>
        <w:t xml:space="preserve"> icon, etc)</w:t>
      </w:r>
    </w:p>
    <w:p w14:paraId="15ED3F26" w14:textId="21B2E717" w:rsidR="001E0BAF" w:rsidRPr="001E34C8" w:rsidRDefault="001E0BAF" w:rsidP="00926A89">
      <w:pPr>
        <w:pStyle w:val="ListParagraph"/>
        <w:numPr>
          <w:ilvl w:val="0"/>
          <w:numId w:val="13"/>
        </w:numPr>
        <w:spacing w:line="360" w:lineRule="auto"/>
        <w:rPr>
          <w:rFonts w:ascii="Lora" w:hAnsi="Lora"/>
          <w:sz w:val="22"/>
          <w:highlight w:val="cyan"/>
        </w:rPr>
      </w:pPr>
      <w:r w:rsidRPr="00412D52">
        <w:rPr>
          <w:rFonts w:ascii="Lora" w:hAnsi="Lora"/>
          <w:sz w:val="22"/>
          <w:highlight w:val="cyan"/>
        </w:rPr>
        <w:t>Plot of primer positions/entropy within COI</w:t>
      </w:r>
      <w:r w:rsidR="00A51BEA">
        <w:rPr>
          <w:rFonts w:ascii="Lora" w:hAnsi="Lora"/>
          <w:sz w:val="22"/>
          <w:highlight w:val="cyan"/>
        </w:rPr>
        <w:t xml:space="preserve">, as well as </w:t>
      </w:r>
      <w:r w:rsidR="00A51BEA">
        <w:rPr>
          <w:rFonts w:ascii="Lora" w:hAnsi="Lora"/>
          <w:sz w:val="22"/>
        </w:rPr>
        <w:t>summary of identification success for different primers</w:t>
      </w:r>
      <w:r w:rsidR="001E34C8">
        <w:rPr>
          <w:rFonts w:ascii="Lora" w:hAnsi="Lora"/>
          <w:sz w:val="22"/>
        </w:rPr>
        <w:t xml:space="preserve"> – for pest taxa only</w:t>
      </w:r>
    </w:p>
    <w:p w14:paraId="10E9AB38" w14:textId="241BFA94" w:rsidR="00A51BEA" w:rsidRPr="00A51BEA" w:rsidRDefault="001E34C8" w:rsidP="001E34C8">
      <w:pPr>
        <w:pStyle w:val="ListParagraph"/>
        <w:numPr>
          <w:ilvl w:val="0"/>
          <w:numId w:val="13"/>
        </w:numPr>
        <w:spacing w:line="360" w:lineRule="auto"/>
        <w:rPr>
          <w:rFonts w:ascii="Lora" w:hAnsi="Lora"/>
          <w:sz w:val="22"/>
        </w:rPr>
      </w:pPr>
      <w:r w:rsidRPr="001E34C8">
        <w:rPr>
          <w:rFonts w:ascii="Lora" w:hAnsi="Lora"/>
          <w:sz w:val="22"/>
        </w:rPr>
        <w:t xml:space="preserve">- Figure summarising failed classifications. </w:t>
      </w:r>
      <w:proofErr w:type="spellStart"/>
      <w:r w:rsidRPr="001E34C8">
        <w:rPr>
          <w:rFonts w:ascii="Lora" w:hAnsi="Lora"/>
          <w:sz w:val="22"/>
        </w:rPr>
        <w:t>Ie</w:t>
      </w:r>
      <w:proofErr w:type="spellEnd"/>
      <w:r w:rsidRPr="001E34C8">
        <w:rPr>
          <w:rFonts w:ascii="Lora" w:hAnsi="Lora"/>
          <w:sz w:val="22"/>
        </w:rPr>
        <w:t xml:space="preserve"> exact match different taxonomy, 99% match different taxonomy. Whether they were in a big group or just a couple of sequences (</w:t>
      </w:r>
      <w:proofErr w:type="spellStart"/>
      <w:r w:rsidRPr="001E34C8">
        <w:rPr>
          <w:rFonts w:ascii="Lora" w:hAnsi="Lora"/>
          <w:sz w:val="22"/>
        </w:rPr>
        <w:t>ie</w:t>
      </w:r>
      <w:proofErr w:type="spellEnd"/>
      <w:r w:rsidRPr="001E34C8">
        <w:rPr>
          <w:rFonts w:ascii="Lora" w:hAnsi="Lora"/>
          <w:sz w:val="22"/>
        </w:rPr>
        <w:t xml:space="preserve"> could majority rules taxonomy removal solve this) etc</w:t>
      </w:r>
    </w:p>
    <w:p w14:paraId="5882E293" w14:textId="18F577D3" w:rsidR="001E0BAF" w:rsidRDefault="001E0BAF" w:rsidP="00A51BEA">
      <w:pPr>
        <w:pStyle w:val="ListParagraph"/>
        <w:numPr>
          <w:ilvl w:val="0"/>
          <w:numId w:val="13"/>
        </w:numPr>
        <w:spacing w:line="360" w:lineRule="auto"/>
        <w:rPr>
          <w:rFonts w:ascii="Lora" w:hAnsi="Lora"/>
          <w:sz w:val="22"/>
        </w:rPr>
      </w:pPr>
      <w:r w:rsidRPr="00412D52">
        <w:rPr>
          <w:rFonts w:ascii="Lora" w:hAnsi="Lora"/>
          <w:sz w:val="22"/>
          <w:highlight w:val="cyan"/>
        </w:rPr>
        <w:lastRenderedPageBreak/>
        <w:t>Plot of</w:t>
      </w:r>
      <w:r w:rsidR="001E34C8">
        <w:rPr>
          <w:rFonts w:ascii="Lora" w:hAnsi="Lora"/>
          <w:sz w:val="22"/>
          <w:highlight w:val="cyan"/>
        </w:rPr>
        <w:t xml:space="preserve"> predicted</w:t>
      </w:r>
      <w:r w:rsidRPr="00412D52">
        <w:rPr>
          <w:rFonts w:ascii="Lora" w:hAnsi="Lora"/>
          <w:sz w:val="22"/>
          <w:highlight w:val="cyan"/>
        </w:rPr>
        <w:t xml:space="preserve"> mismatch between different primers and </w:t>
      </w:r>
      <w:r w:rsidR="001E34C8">
        <w:rPr>
          <w:rFonts w:ascii="Lora" w:hAnsi="Lora"/>
          <w:sz w:val="22"/>
          <w:highlight w:val="cyan"/>
        </w:rPr>
        <w:t xml:space="preserve">entire insect pes </w:t>
      </w:r>
      <w:proofErr w:type="spellStart"/>
      <w:r w:rsidR="001E34C8">
        <w:rPr>
          <w:rFonts w:ascii="Lora" w:hAnsi="Lora"/>
          <w:sz w:val="22"/>
          <w:highlight w:val="cyan"/>
        </w:rPr>
        <w:t>tgroups</w:t>
      </w:r>
      <w:proofErr w:type="spellEnd"/>
      <w:r w:rsidR="00A51BEA">
        <w:rPr>
          <w:rFonts w:ascii="Lora" w:hAnsi="Lora"/>
          <w:sz w:val="22"/>
          <w:highlight w:val="cyan"/>
        </w:rPr>
        <w:t xml:space="preserve"> with </w:t>
      </w:r>
      <w:proofErr w:type="spellStart"/>
      <w:r w:rsidR="00A51BEA">
        <w:rPr>
          <w:rFonts w:ascii="Lora" w:hAnsi="Lora"/>
          <w:sz w:val="22"/>
          <w:highlight w:val="cyan"/>
        </w:rPr>
        <w:t>dendogram</w:t>
      </w:r>
      <w:proofErr w:type="spellEnd"/>
      <w:r w:rsidR="00A51BEA">
        <w:rPr>
          <w:rFonts w:ascii="Lora" w:hAnsi="Lora"/>
          <w:sz w:val="22"/>
          <w:highlight w:val="cyan"/>
        </w:rPr>
        <w:t xml:space="preserve"> on left to show that mismatch is concentrated on some clades</w:t>
      </w:r>
      <w:r w:rsidRPr="00412D52">
        <w:rPr>
          <w:rFonts w:ascii="Lora" w:hAnsi="Lora"/>
          <w:sz w:val="22"/>
          <w:highlight w:val="cyan"/>
        </w:rPr>
        <w:t xml:space="preserve"> </w:t>
      </w:r>
    </w:p>
    <w:p w14:paraId="6D699153" w14:textId="0ED32A08" w:rsidR="00AE7310" w:rsidRDefault="001E0BAF" w:rsidP="00AE7310">
      <w:pPr>
        <w:pStyle w:val="ListParagraph"/>
        <w:numPr>
          <w:ilvl w:val="0"/>
          <w:numId w:val="13"/>
        </w:numPr>
        <w:spacing w:line="360" w:lineRule="auto"/>
        <w:rPr>
          <w:rFonts w:ascii="Lora" w:hAnsi="Lora"/>
          <w:sz w:val="22"/>
        </w:rPr>
      </w:pPr>
      <w:r w:rsidRPr="001E34C8">
        <w:rPr>
          <w:rFonts w:ascii="Lora" w:hAnsi="Lora"/>
          <w:sz w:val="22"/>
        </w:rPr>
        <w:t>In-silico predicted off target effects of primers – trees</w:t>
      </w:r>
    </w:p>
    <w:p w14:paraId="5600339F" w14:textId="77777777" w:rsidR="00AE7310" w:rsidRDefault="00AE7310">
      <w:pPr>
        <w:spacing w:after="160" w:line="259" w:lineRule="auto"/>
        <w:rPr>
          <w:rFonts w:ascii="Lora" w:hAnsi="Lora"/>
          <w:sz w:val="22"/>
        </w:rPr>
      </w:pPr>
      <w:r>
        <w:rPr>
          <w:rFonts w:ascii="Lora" w:hAnsi="Lora"/>
          <w:sz w:val="22"/>
        </w:rPr>
        <w:br w:type="page"/>
      </w:r>
    </w:p>
    <w:p w14:paraId="7A78FEC8" w14:textId="77777777" w:rsidR="001E34C8" w:rsidRPr="00AE7310" w:rsidRDefault="001E34C8" w:rsidP="00AE7310">
      <w:pPr>
        <w:spacing w:line="360" w:lineRule="auto"/>
        <w:rPr>
          <w:rFonts w:ascii="Lora" w:hAnsi="Lora"/>
          <w:sz w:val="22"/>
        </w:rPr>
      </w:pPr>
    </w:p>
    <w:p w14:paraId="1A9770C6" w14:textId="14FD4097" w:rsidR="00F522FD" w:rsidRPr="00E33E6A" w:rsidRDefault="00F522FD" w:rsidP="0016608D">
      <w:pPr>
        <w:pStyle w:val="Heading1"/>
        <w:spacing w:line="360" w:lineRule="auto"/>
        <w:rPr>
          <w:rFonts w:ascii="Lora" w:hAnsi="Lora"/>
          <w:b/>
          <w:sz w:val="22"/>
          <w:szCs w:val="22"/>
        </w:rPr>
      </w:pPr>
      <w:commentRangeStart w:id="2"/>
      <w:r w:rsidRPr="00E33E6A">
        <w:rPr>
          <w:rFonts w:ascii="Lora" w:hAnsi="Lora"/>
          <w:b/>
          <w:sz w:val="22"/>
          <w:szCs w:val="22"/>
        </w:rPr>
        <w:t>I</w:t>
      </w:r>
      <w:commentRangeStart w:id="3"/>
      <w:r w:rsidRPr="00E33E6A">
        <w:rPr>
          <w:rFonts w:ascii="Lora" w:hAnsi="Lora"/>
          <w:b/>
          <w:sz w:val="22"/>
          <w:szCs w:val="22"/>
        </w:rPr>
        <w:t>ntroduction</w:t>
      </w:r>
      <w:commentRangeEnd w:id="3"/>
      <w:r w:rsidR="0011424E">
        <w:rPr>
          <w:rStyle w:val="CommentReference"/>
          <w:rFonts w:eastAsiaTheme="minorHAnsi" w:cstheme="minorBidi"/>
          <w:color w:val="auto"/>
        </w:rPr>
        <w:commentReference w:id="3"/>
      </w:r>
      <w:commentRangeEnd w:id="2"/>
      <w:r w:rsidR="001070E9">
        <w:rPr>
          <w:rStyle w:val="CommentReference"/>
          <w:rFonts w:eastAsiaTheme="minorHAnsi" w:cstheme="minorBidi"/>
          <w:color w:val="auto"/>
        </w:rPr>
        <w:commentReference w:id="2"/>
      </w:r>
    </w:p>
    <w:p w14:paraId="3510D5B5" w14:textId="76D1A8F9" w:rsidR="00596E6D" w:rsidRDefault="00AE7310" w:rsidP="00AE7310">
      <w:pPr>
        <w:spacing w:line="360" w:lineRule="auto"/>
        <w:jc w:val="both"/>
        <w:rPr>
          <w:rFonts w:ascii="Lora" w:hAnsi="Lora"/>
          <w:sz w:val="22"/>
        </w:rPr>
      </w:pPr>
      <w:r>
        <w:rPr>
          <w:rFonts w:ascii="Lora" w:hAnsi="Lora"/>
          <w:sz w:val="22"/>
        </w:rPr>
        <w:t xml:space="preserve">For diagnostics of </w:t>
      </w:r>
      <w:r w:rsidR="00596E6D">
        <w:rPr>
          <w:rFonts w:ascii="Lora" w:hAnsi="Lora"/>
          <w:sz w:val="22"/>
        </w:rPr>
        <w:t>invasive</w:t>
      </w:r>
      <w:r>
        <w:rPr>
          <w:rFonts w:ascii="Lora" w:hAnsi="Lora"/>
          <w:sz w:val="22"/>
        </w:rPr>
        <w:t xml:space="preserve"> pests</w:t>
      </w:r>
      <w:r w:rsidR="00596E6D">
        <w:rPr>
          <w:rFonts w:ascii="Lora" w:hAnsi="Lora"/>
          <w:sz w:val="22"/>
        </w:rPr>
        <w:t xml:space="preserve"> and pathogens</w:t>
      </w:r>
      <w:r w:rsidRPr="00AE7310">
        <w:rPr>
          <w:rFonts w:ascii="Lora" w:hAnsi="Lora"/>
          <w:sz w:val="22"/>
        </w:rPr>
        <w:t xml:space="preserve">, early diagnosis and a rapid response are crucial to reduce the risk of establishment and spread within an area. </w:t>
      </w:r>
      <w:r w:rsidR="00596E6D">
        <w:rPr>
          <w:rFonts w:ascii="Lora" w:hAnsi="Lora"/>
          <w:sz w:val="22"/>
        </w:rPr>
        <w:t>Historically</w:t>
      </w:r>
      <w:r w:rsidRPr="00AE7310">
        <w:rPr>
          <w:rFonts w:ascii="Lora" w:hAnsi="Lora"/>
          <w:sz w:val="22"/>
        </w:rPr>
        <w:t xml:space="preserve"> inspections and other surveillance activities have been based on </w:t>
      </w:r>
      <w:r>
        <w:rPr>
          <w:rFonts w:ascii="Lora" w:hAnsi="Lora"/>
          <w:sz w:val="22"/>
        </w:rPr>
        <w:t xml:space="preserve">targeted </w:t>
      </w:r>
      <w:r w:rsidRPr="00AE7310">
        <w:rPr>
          <w:rFonts w:ascii="Lora" w:hAnsi="Lora"/>
          <w:sz w:val="22"/>
        </w:rPr>
        <w:t xml:space="preserve">lists of regulated organisms, an approach that is fundamental to quarantine legislation and risk prioritisation around the world. However, this list-based legislation can often </w:t>
      </w:r>
      <w:proofErr w:type="gramStart"/>
      <w:r w:rsidRPr="00AE7310">
        <w:rPr>
          <w:rFonts w:ascii="Lora" w:hAnsi="Lora"/>
          <w:sz w:val="22"/>
        </w:rPr>
        <w:t>lag behind</w:t>
      </w:r>
      <w:proofErr w:type="gramEnd"/>
      <w:r w:rsidRPr="00AE7310">
        <w:rPr>
          <w:rFonts w:ascii="Lora" w:hAnsi="Lora"/>
          <w:sz w:val="22"/>
        </w:rPr>
        <w:t xml:space="preserve"> the speed with which new pests can emerge and spread across borders. Furthermore, with growing investment in environmental biosecurity rather than just agriculture the detection, keeping a broad range of pests out becomes more essential due to the time lag that can occur between introduction of a new species and perceptible damage to the environment.</w:t>
      </w:r>
      <w:r w:rsidR="00596E6D">
        <w:rPr>
          <w:rFonts w:ascii="Lora" w:hAnsi="Lora"/>
          <w:sz w:val="22"/>
        </w:rPr>
        <w:t xml:space="preserve"> However, if all these are to be monitored for or to allow a more holistic approach to surveillance, current targeted diagnostics provide to much a workload. </w:t>
      </w:r>
    </w:p>
    <w:p w14:paraId="38911342" w14:textId="13779969" w:rsidR="00760C76" w:rsidRDefault="00AE7310" w:rsidP="00AE7310">
      <w:pPr>
        <w:spacing w:line="360" w:lineRule="auto"/>
        <w:jc w:val="both"/>
        <w:rPr>
          <w:rFonts w:ascii="Lora" w:hAnsi="Lora"/>
          <w:sz w:val="22"/>
        </w:rPr>
      </w:pPr>
      <w:r>
        <w:rPr>
          <w:rFonts w:ascii="Lora" w:hAnsi="Lora"/>
          <w:sz w:val="22"/>
        </w:rPr>
        <w:t>Non-</w:t>
      </w:r>
      <w:r w:rsidR="00596E6D">
        <w:rPr>
          <w:rFonts w:ascii="Lora" w:hAnsi="Lora"/>
          <w:sz w:val="22"/>
        </w:rPr>
        <w:t>targeted</w:t>
      </w:r>
      <w:r>
        <w:rPr>
          <w:rFonts w:ascii="Lora" w:hAnsi="Lora"/>
          <w:sz w:val="22"/>
        </w:rPr>
        <w:t xml:space="preserve"> or ‘meta’ </w:t>
      </w:r>
      <w:r w:rsidR="00D51660" w:rsidRPr="00AE7310">
        <w:rPr>
          <w:rFonts w:ascii="Lora" w:hAnsi="Lora"/>
          <w:sz w:val="22"/>
        </w:rPr>
        <w:t xml:space="preserve">HTS </w:t>
      </w:r>
      <w:r w:rsidR="00EF44F7" w:rsidRPr="00AE7310">
        <w:rPr>
          <w:rFonts w:ascii="Lora" w:hAnsi="Lora"/>
          <w:sz w:val="22"/>
        </w:rPr>
        <w:t>diagnostics</w:t>
      </w:r>
      <w:r>
        <w:rPr>
          <w:rFonts w:ascii="Lora" w:hAnsi="Lora"/>
          <w:sz w:val="22"/>
        </w:rPr>
        <w:t xml:space="preserve"> </w:t>
      </w:r>
      <w:r w:rsidR="00EF44F7" w:rsidRPr="00AE7310">
        <w:rPr>
          <w:rFonts w:ascii="Lora" w:hAnsi="Lora"/>
          <w:sz w:val="22"/>
        </w:rPr>
        <w:t xml:space="preserve">have recently </w:t>
      </w:r>
      <w:r w:rsidR="00596E6D">
        <w:rPr>
          <w:rFonts w:ascii="Lora" w:hAnsi="Lora"/>
          <w:sz w:val="22"/>
        </w:rPr>
        <w:t>gained</w:t>
      </w:r>
      <w:r w:rsidR="00D51660" w:rsidRPr="00AE7310">
        <w:rPr>
          <w:rFonts w:ascii="Lora" w:hAnsi="Lora"/>
          <w:sz w:val="22"/>
        </w:rPr>
        <w:t xml:space="preserve"> traction </w:t>
      </w:r>
      <w:r w:rsidR="00596E6D">
        <w:rPr>
          <w:rFonts w:ascii="Lora" w:hAnsi="Lora"/>
          <w:sz w:val="22"/>
        </w:rPr>
        <w:t>in many fields of molecular diagnost</w:t>
      </w:r>
      <w:r w:rsidR="00EF44F7" w:rsidRPr="00AE7310">
        <w:rPr>
          <w:rFonts w:ascii="Lora" w:hAnsi="Lora"/>
          <w:sz w:val="22"/>
        </w:rPr>
        <w:t>i</w:t>
      </w:r>
      <w:r w:rsidR="00596E6D">
        <w:rPr>
          <w:rFonts w:ascii="Lora" w:hAnsi="Lora"/>
          <w:sz w:val="22"/>
        </w:rPr>
        <w:t xml:space="preserve">cs </w:t>
      </w:r>
      <w:r w:rsidR="00760C76">
        <w:rPr>
          <w:rFonts w:ascii="Lora" w:hAnsi="Lora"/>
          <w:sz w:val="22"/>
        </w:rPr>
        <w:t>to</w:t>
      </w:r>
      <w:r w:rsidR="00596E6D">
        <w:rPr>
          <w:rFonts w:ascii="Lora" w:hAnsi="Lora"/>
          <w:sz w:val="22"/>
        </w:rPr>
        <w:t xml:space="preserve"> overcome this. </w:t>
      </w:r>
      <w:r w:rsidR="00EF44F7" w:rsidRPr="00AE7310">
        <w:rPr>
          <w:rFonts w:ascii="Lora" w:hAnsi="Lora"/>
          <w:sz w:val="22"/>
        </w:rPr>
        <w:t>By</w:t>
      </w:r>
      <w:r>
        <w:rPr>
          <w:rFonts w:ascii="Lora" w:hAnsi="Lora"/>
          <w:sz w:val="22"/>
        </w:rPr>
        <w:t xml:space="preserve"> targeting a mixed population of genomic DNA</w:t>
      </w:r>
      <w:r w:rsidR="00F662C9">
        <w:rPr>
          <w:rFonts w:ascii="Lora" w:hAnsi="Lora"/>
          <w:sz w:val="22"/>
        </w:rPr>
        <w:t xml:space="preserve"> or </w:t>
      </w:r>
      <w:r>
        <w:rPr>
          <w:rFonts w:ascii="Lora" w:hAnsi="Lora"/>
          <w:sz w:val="22"/>
        </w:rPr>
        <w:t>RNA these approaches allow</w:t>
      </w:r>
      <w:r w:rsidR="00EF44F7" w:rsidRPr="00AE7310">
        <w:rPr>
          <w:rFonts w:ascii="Lora" w:hAnsi="Lora"/>
          <w:sz w:val="22"/>
        </w:rPr>
        <w:t xml:space="preserve"> the simultaneous identification of multiple species within large mixed communities</w:t>
      </w:r>
      <w:r w:rsidR="00596E6D">
        <w:rPr>
          <w:rFonts w:ascii="Lora" w:hAnsi="Lora"/>
          <w:sz w:val="22"/>
        </w:rPr>
        <w:t xml:space="preserve">. </w:t>
      </w:r>
      <w:r w:rsidR="00760C76">
        <w:rPr>
          <w:rFonts w:ascii="Lora" w:hAnsi="Lora"/>
          <w:sz w:val="22"/>
        </w:rPr>
        <w:t xml:space="preserve">If the </w:t>
      </w:r>
      <w:proofErr w:type="spellStart"/>
      <w:r w:rsidR="00760C76">
        <w:rPr>
          <w:rFonts w:ascii="Lora" w:hAnsi="Lora"/>
          <w:sz w:val="22"/>
        </w:rPr>
        <w:t>same</w:t>
      </w:r>
      <w:r w:rsidR="00760C76" w:rsidRPr="00AE7310">
        <w:rPr>
          <w:rFonts w:ascii="Lora" w:hAnsi="Lora"/>
          <w:sz w:val="22"/>
        </w:rPr>
        <w:t>e</w:t>
      </w:r>
      <w:proofErr w:type="spellEnd"/>
      <w:r w:rsidR="00760C76" w:rsidRPr="00AE7310">
        <w:rPr>
          <w:rFonts w:ascii="Lora" w:hAnsi="Lora"/>
          <w:sz w:val="22"/>
        </w:rPr>
        <w:t xml:space="preserve"> assay can be used across diverse taxonomic or physiological groups it has the potential</w:t>
      </w:r>
      <w:r w:rsidR="00760C76">
        <w:rPr>
          <w:rFonts w:ascii="Lora" w:hAnsi="Lora"/>
          <w:sz w:val="22"/>
        </w:rPr>
        <w:t xml:space="preserve"> to</w:t>
      </w:r>
      <w:r w:rsidR="00F662C9">
        <w:rPr>
          <w:rFonts w:ascii="Lora" w:hAnsi="Lora"/>
          <w:sz w:val="22"/>
        </w:rPr>
        <w:t xml:space="preserve"> </w:t>
      </w:r>
      <w:r w:rsidR="00760C76" w:rsidRPr="00AE7310">
        <w:rPr>
          <w:rFonts w:ascii="Lora" w:hAnsi="Lora"/>
          <w:sz w:val="22"/>
        </w:rPr>
        <w:t xml:space="preserve">broaden the diversity of organisms </w:t>
      </w:r>
      <w:r w:rsidR="00760C76">
        <w:rPr>
          <w:rFonts w:ascii="Lora" w:hAnsi="Lora"/>
          <w:sz w:val="22"/>
        </w:rPr>
        <w:t>within the scope of a diagnostic laboratory, as well as</w:t>
      </w:r>
      <w:r w:rsidR="00F662C9" w:rsidRPr="00AE7310">
        <w:rPr>
          <w:rFonts w:ascii="Lora" w:hAnsi="Lora"/>
          <w:sz w:val="22"/>
        </w:rPr>
        <w:t xml:space="preserve"> decrease the costs of</w:t>
      </w:r>
      <w:r w:rsidR="00760C76">
        <w:rPr>
          <w:rFonts w:ascii="Lora" w:hAnsi="Lora"/>
          <w:sz w:val="22"/>
        </w:rPr>
        <w:t xml:space="preserve"> implementation</w:t>
      </w:r>
      <w:r w:rsidR="00F662C9" w:rsidRPr="00AE7310">
        <w:rPr>
          <w:rFonts w:ascii="Lora" w:hAnsi="Lora"/>
          <w:sz w:val="22"/>
        </w:rPr>
        <w:t>.</w:t>
      </w:r>
      <w:r w:rsidR="00F662C9">
        <w:rPr>
          <w:rFonts w:ascii="Lora" w:hAnsi="Lora"/>
          <w:sz w:val="22"/>
        </w:rPr>
        <w:t xml:space="preserve"> </w:t>
      </w:r>
      <w:r w:rsidR="00760C76">
        <w:rPr>
          <w:rFonts w:ascii="Lora" w:hAnsi="Lora"/>
          <w:sz w:val="22"/>
        </w:rPr>
        <w:t xml:space="preserve">Metagenomic and </w:t>
      </w:r>
      <w:proofErr w:type="spellStart"/>
      <w:r w:rsidR="00760C76">
        <w:rPr>
          <w:rFonts w:ascii="Lora" w:hAnsi="Lora"/>
          <w:sz w:val="22"/>
        </w:rPr>
        <w:t>Metatranscriptomic</w:t>
      </w:r>
      <w:proofErr w:type="spellEnd"/>
      <w:r w:rsidR="00760C76">
        <w:rPr>
          <w:rFonts w:ascii="Lora" w:hAnsi="Lora"/>
          <w:sz w:val="22"/>
        </w:rPr>
        <w:t xml:space="preserve"> approaches have been used to identify large reportable ranges of viral and bacterial and fungal pathogens in</w:t>
      </w:r>
      <w:r w:rsidR="00760C76" w:rsidRPr="00AE7310">
        <w:rPr>
          <w:rFonts w:ascii="Lora" w:hAnsi="Lora"/>
          <w:sz w:val="22"/>
        </w:rPr>
        <w:t xml:space="preserve"> clinica</w:t>
      </w:r>
      <w:r w:rsidR="00760C76">
        <w:rPr>
          <w:rFonts w:ascii="Lora" w:hAnsi="Lora"/>
          <w:sz w:val="22"/>
        </w:rPr>
        <w:t>l</w:t>
      </w:r>
      <w:r w:rsidR="00760C76" w:rsidRPr="00AE7310">
        <w:rPr>
          <w:rFonts w:ascii="Lora" w:hAnsi="Lora"/>
          <w:sz w:val="22"/>
        </w:rPr>
        <w:t xml:space="preserve"> </w:t>
      </w:r>
      <w:r w:rsidR="00760C76">
        <w:rPr>
          <w:rFonts w:ascii="Lora" w:hAnsi="Lora"/>
          <w:sz w:val="22"/>
        </w:rPr>
        <w:t xml:space="preserve">situations </w:t>
      </w:r>
      <w:r w:rsidR="00760C76" w:rsidRPr="00AE7310">
        <w:rPr>
          <w:rFonts w:ascii="Lora" w:hAnsi="Lora"/>
          <w:sz w:val="22"/>
        </w:rPr>
        <w:fldChar w:fldCharType="begin" w:fldLock="1"/>
      </w:r>
      <w:r w:rsidR="00760C76" w:rsidRPr="00AE7310">
        <w:rPr>
          <w:rFonts w:ascii="Lora" w:hAnsi="Lora"/>
          <w:sz w:val="22"/>
        </w:rPr>
        <w:instrText>ADDIN CSL_CITATION {"citationItems":[{"id":"ITEM-1","itemData":{"DOI":"10.1038/s41576-019-0113-7","ISSN":"14710064","abstract":"Clinical metagenomic next-generation sequencing (mNGS), the comprehensive analysis of microbial and host genetic material (DNA and RNA) in samples from patients, is rapidly moving from research to clinical laboratories. This emerging approach is changing how physicians diagnose and treat infectious disease, with applications spanning a wide range of areas, including antimicrobial resistance, the microbiome, human host gene expression (transcriptomics) and oncology. Here, we focus on the challenges of implementing mNGS in the clinical laboratory and address potential solutions for maximizing its impact on patient care and public health.","author":[{"dropping-particle":"","family":"Chiu","given":"Charles Y.","non-dropping-particle":"","parse-names":false,"suffix":""},{"dropping-particle":"","family":"Miller","given":"Steven A.","non-dropping-particle":"","parse-names":false,"suffix":""}],"container-title":"Nature Reviews Genetics","id":"ITEM-1","issued":{"date-parts":[["2019"]]},"page":"341–355","title":"Clinical metagenomics","type":"article-journal","volume":"20"},"uris":["http://www.mendeley.com/documents/?uuid=a5b99aea-8ca4-4d0e-8c01-c9aa6662ca8b"]}],"mendeley":{"formattedCitation":"(Chiu &amp; Miller, 2019)","plainTextFormattedCitation":"(Chiu &amp; Miller, 2019)","previouslyFormattedCitation":"(Chiu &amp; Miller, 2019)"},"properties":{"noteIndex":0},"schema":"https://github.com/citation-style-language/schema/raw/master/csl-citation.json"}</w:instrText>
      </w:r>
      <w:r w:rsidR="00760C76" w:rsidRPr="00AE7310">
        <w:rPr>
          <w:rFonts w:ascii="Lora" w:hAnsi="Lora"/>
          <w:sz w:val="22"/>
        </w:rPr>
        <w:fldChar w:fldCharType="separate"/>
      </w:r>
      <w:r w:rsidR="00760C76" w:rsidRPr="00AE7310">
        <w:rPr>
          <w:rFonts w:ascii="Lora" w:hAnsi="Lora"/>
          <w:noProof/>
          <w:sz w:val="22"/>
        </w:rPr>
        <w:t>(Chiu &amp; Miller, 2019)</w:t>
      </w:r>
      <w:r w:rsidR="00760C76" w:rsidRPr="00AE7310">
        <w:rPr>
          <w:rFonts w:ascii="Lora" w:hAnsi="Lora"/>
          <w:sz w:val="22"/>
        </w:rPr>
        <w:fldChar w:fldCharType="end"/>
      </w:r>
      <w:r w:rsidR="00760C76">
        <w:rPr>
          <w:rFonts w:ascii="Lora" w:hAnsi="Lora"/>
          <w:sz w:val="22"/>
        </w:rPr>
        <w:t xml:space="preserve">. However, for targeting many eukaryotic organisms, the size of the genomes make these processes expensive </w:t>
      </w:r>
      <w:r w:rsidR="00760C76">
        <w:rPr>
          <w:rFonts w:ascii="Lora" w:hAnsi="Lora"/>
          <w:sz w:val="22"/>
        </w:rPr>
        <w:fldChar w:fldCharType="begin" w:fldLock="1"/>
      </w:r>
      <w:r w:rsidR="00760C76">
        <w:rPr>
          <w:rFonts w:ascii="Lora" w:hAnsi="Lora"/>
          <w:sz w:val="22"/>
        </w:rPr>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rsidR="00760C76">
        <w:rPr>
          <w:rFonts w:ascii="Lora" w:hAnsi="Lora"/>
          <w:sz w:val="22"/>
        </w:rPr>
        <w:fldChar w:fldCharType="separate"/>
      </w:r>
      <w:r w:rsidR="00760C76" w:rsidRPr="00F662C9">
        <w:rPr>
          <w:rFonts w:ascii="Lora" w:hAnsi="Lora"/>
          <w:noProof/>
          <w:sz w:val="22"/>
        </w:rPr>
        <w:t>(Piper et al., 2019)</w:t>
      </w:r>
      <w:r w:rsidR="00760C76">
        <w:rPr>
          <w:rFonts w:ascii="Lora" w:hAnsi="Lora"/>
          <w:sz w:val="22"/>
        </w:rPr>
        <w:fldChar w:fldCharType="end"/>
      </w:r>
      <w:r w:rsidR="00760C76">
        <w:rPr>
          <w:rFonts w:ascii="Lora" w:hAnsi="Lora"/>
          <w:sz w:val="22"/>
        </w:rPr>
        <w:t xml:space="preserve"> and instead enrichment of a taxonomically informative marker is first used. This ‘Metabarcoding’ approach has been used for diagnostics of forensic, endangered, and pest species. </w:t>
      </w:r>
    </w:p>
    <w:p w14:paraId="51473A73" w14:textId="08652094" w:rsidR="00760C76" w:rsidRDefault="00760C76" w:rsidP="00AE7310">
      <w:pPr>
        <w:spacing w:line="360" w:lineRule="auto"/>
        <w:jc w:val="both"/>
        <w:rPr>
          <w:rFonts w:ascii="Lora" w:hAnsi="Lora"/>
          <w:sz w:val="22"/>
        </w:rPr>
      </w:pPr>
      <w:r w:rsidRPr="00AE7310">
        <w:rPr>
          <w:rFonts w:ascii="Lora" w:hAnsi="Lora"/>
          <w:sz w:val="22"/>
        </w:rPr>
        <w:t>The use of non-targeted diagnostics can r and can reveal the presence of previously unrecorded introduced species that have been missed by previous targeted surveys (Batovska et al 2020).</w:t>
      </w:r>
      <w:r>
        <w:rPr>
          <w:rFonts w:ascii="Lora" w:hAnsi="Lora"/>
          <w:sz w:val="22"/>
        </w:rPr>
        <w:t xml:space="preserve"> </w:t>
      </w:r>
      <w:r>
        <w:rPr>
          <w:rFonts w:ascii="Lora" w:hAnsi="Lora"/>
          <w:sz w:val="22"/>
        </w:rPr>
        <w:fldChar w:fldCharType="begin" w:fldLock="1"/>
      </w:r>
      <w:r>
        <w:rPr>
          <w:rFonts w:ascii="Lora" w:hAnsi="Lora"/>
          <w:sz w:val="22"/>
        </w:rPr>
        <w:instrText>ADDIN CSL_CITATION {"citationItems":[{"id":"ITEM-1","itemData":{"DOI":"10.1038/s41598-019-55741-3","ISSN":"20452322","abstract":"The ability to identify all the viruses within a sample makes metatranscriptomic sequencing an attractive tool to screen mosquitoes for arboviruses. Practical application of this technique, however, requires a clear understanding of its analytical sensitivity and specificity. To assess this, five dilutions (1:1, 1:20, 1:400, 1:8,000 and 1:160,000) of Ross River virus (RRV) and Umatilla virus (UMAV) isolates were spiked into subsamples of a pool of 100 Culex australicus mosquitoes. The 1:1 dilution represented the viral load of one RRV-infected mosquito in a pool of 100 mosquitoes. The subsamples underwent nucleic acid extraction, mosquito-specific ribosomal RNA depletion, and Illumina HiSeq sequencing. The viral load of the subsamples was also measured using reverse transcription droplet digital PCR (RT-ddPCR) and quantitative PCR (RT-qPCR). Metatranscriptomic sequencing detected both RRV and UMAV in the 1:1, 1:20 and 1:400 subsamples. A high specificity was achieved, with 100% of RRV and 99.6% of UMAV assembled contigs correctly identified. Metatranscriptomic sequencing was not as sensitive as RT-qPCR or RT-ddPCR; however, it recovered whole genome information and detected 19 other viruses, including four first detections for Australia. These findings will assist arbovirus surveillance programs in utilising metatranscriptomics in routine surveillance activities to enhance arbovirus detection.","author":[{"dropping-particle":"","family":"Batovska","given":"Jana","non-dropping-particle":"","parse-names":false,"suffix":""},{"dropping-particle":"","family":"Mee","given":"Peter T.","non-dropping-particle":"","parse-names":false,"suffix":""},{"dropping-particle":"","family":"Lynch","given":"Stacey E.","non-dropping-particle":"","parse-names":false,"suffix":""},{"dropping-particle":"","family":"Sawbridge","given":"Tim I.","non-dropping-particle":"","parse-names":false,"suffix":""},{"dropping-particle":"","family":"Rodoni","given":"Brendan C.","non-dropping-particle":"","parse-names":false,"suffix":""}],"container-title":"Scientific Reports","id":"ITEM-1","issue":"1","issued":{"date-parts":[["2019"]]},"page":"1-13","title":"Sensitivity and specificity of metatranscriptomics as an arbovirus surveillance tool","type":"article-journal","volume":"9"},"uris":["http://www.mendeley.com/documents/?uuid=d06fdee7-89b8-4175-83d7-115cdd438a67"]}],"mendeley":{"formattedCitation":"(Batovska, Mee, Lynch, Sawbridge, &amp; Rodoni, 2019)","plainTextFormattedCitation":"(Batovska, Mee, Lynch, Sawbridge, &amp; Rodoni, 2019)"},"properties":{"noteIndex":0},"schema":"https://github.com/citation-style-language/schema/raw/master/csl-citation.json"}</w:instrText>
      </w:r>
      <w:r>
        <w:rPr>
          <w:rFonts w:ascii="Lora" w:hAnsi="Lora"/>
          <w:sz w:val="22"/>
        </w:rPr>
        <w:fldChar w:fldCharType="separate"/>
      </w:r>
      <w:r w:rsidRPr="00760C76">
        <w:rPr>
          <w:rFonts w:ascii="Lora" w:hAnsi="Lora"/>
          <w:noProof/>
          <w:sz w:val="22"/>
        </w:rPr>
        <w:t>(Batovska, Mee, Lynch, Sawbridge, &amp; Rodoni, 2019)</w:t>
      </w:r>
      <w:r>
        <w:rPr>
          <w:rFonts w:ascii="Lora" w:hAnsi="Lora"/>
          <w:sz w:val="22"/>
        </w:rPr>
        <w:fldChar w:fldCharType="end"/>
      </w:r>
    </w:p>
    <w:p w14:paraId="4383D09F" w14:textId="36776B08" w:rsidR="00760C76" w:rsidRDefault="006E7619" w:rsidP="00760C76">
      <w:pPr>
        <w:spacing w:line="360" w:lineRule="auto"/>
        <w:jc w:val="both"/>
        <w:rPr>
          <w:rFonts w:ascii="Lora" w:hAnsi="Lora"/>
          <w:sz w:val="22"/>
        </w:rPr>
      </w:pPr>
      <w:r w:rsidRPr="00AE7310">
        <w:rPr>
          <w:rFonts w:ascii="Lora" w:hAnsi="Lora"/>
          <w:sz w:val="22"/>
        </w:rPr>
        <w:t>Despite the obvious advantages that non-targeted HTS assays offer</w:t>
      </w:r>
      <w:r w:rsidR="00AE7310">
        <w:rPr>
          <w:rFonts w:ascii="Lora" w:hAnsi="Lora"/>
          <w:sz w:val="22"/>
        </w:rPr>
        <w:t xml:space="preserve"> to plant pest and pathogen diagnostics</w:t>
      </w:r>
      <w:r w:rsidRPr="00AE7310">
        <w:rPr>
          <w:rFonts w:ascii="Lora" w:hAnsi="Lora"/>
          <w:sz w:val="22"/>
        </w:rPr>
        <w:t xml:space="preserve">, </w:t>
      </w:r>
      <w:r w:rsidR="00723635" w:rsidRPr="00AE7310">
        <w:rPr>
          <w:rFonts w:ascii="Lora" w:hAnsi="Lora"/>
          <w:sz w:val="22"/>
        </w:rPr>
        <w:t xml:space="preserve">ensuring the accuracy of these detections is paramount, in light of the complexity of NGS pipelines have introduced more ways for false </w:t>
      </w:r>
      <w:r w:rsidR="009B7F25" w:rsidRPr="00AE7310">
        <w:rPr>
          <w:rFonts w:ascii="Lora" w:hAnsi="Lora"/>
          <w:sz w:val="22"/>
        </w:rPr>
        <w:t>positives</w:t>
      </w:r>
      <w:r w:rsidR="00723635" w:rsidRPr="00AE7310">
        <w:rPr>
          <w:rFonts w:ascii="Lora" w:hAnsi="Lora"/>
          <w:sz w:val="22"/>
        </w:rPr>
        <w:t xml:space="preserve"> to be </w:t>
      </w:r>
      <w:r w:rsidR="00723635" w:rsidRPr="00AE7310">
        <w:rPr>
          <w:rFonts w:ascii="Lora" w:hAnsi="Lora"/>
          <w:sz w:val="22"/>
        </w:rPr>
        <w:lastRenderedPageBreak/>
        <w:t xml:space="preserve">introduced </w:t>
      </w:r>
      <w:r w:rsidR="00723635" w:rsidRPr="00AE7310">
        <w:rPr>
          <w:rFonts w:ascii="Lora" w:hAnsi="Lora"/>
          <w:sz w:val="22"/>
        </w:rPr>
        <w:fldChar w:fldCharType="begin" w:fldLock="1"/>
      </w:r>
      <w:r w:rsidR="00D51660" w:rsidRPr="00AE7310">
        <w:rPr>
          <w:rFonts w:ascii="Lora" w:hAnsi="Lora"/>
          <w:sz w:val="22"/>
        </w:rPr>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rsidR="00723635" w:rsidRPr="00AE7310">
        <w:rPr>
          <w:rFonts w:ascii="Lora" w:hAnsi="Lora"/>
          <w:sz w:val="22"/>
        </w:rPr>
        <w:fldChar w:fldCharType="separate"/>
      </w:r>
      <w:r w:rsidR="00723635" w:rsidRPr="00AE7310">
        <w:rPr>
          <w:rFonts w:ascii="Lora" w:hAnsi="Lora"/>
          <w:noProof/>
          <w:sz w:val="22"/>
        </w:rPr>
        <w:t>(Piper et al., 2019)</w:t>
      </w:r>
      <w:r w:rsidR="00723635" w:rsidRPr="00AE7310">
        <w:rPr>
          <w:rFonts w:ascii="Lora" w:hAnsi="Lora"/>
          <w:sz w:val="22"/>
        </w:rPr>
        <w:fldChar w:fldCharType="end"/>
      </w:r>
      <w:r w:rsidR="00723635" w:rsidRPr="00AE7310">
        <w:rPr>
          <w:rFonts w:ascii="Lora" w:hAnsi="Lora"/>
          <w:sz w:val="22"/>
        </w:rPr>
        <w:t xml:space="preserve">. </w:t>
      </w:r>
      <w:r w:rsidRPr="00AE7310">
        <w:rPr>
          <w:rFonts w:ascii="Lora" w:hAnsi="Lora"/>
          <w:sz w:val="22"/>
        </w:rPr>
        <w:t xml:space="preserve">Conventionally, </w:t>
      </w:r>
      <w:r w:rsidR="00760C76" w:rsidRPr="00AE7310">
        <w:rPr>
          <w:rFonts w:ascii="Lora" w:hAnsi="Lora"/>
          <w:sz w:val="22"/>
        </w:rPr>
        <w:t>plant pest diagnostics</w:t>
      </w:r>
      <w:r w:rsidRPr="00AE7310">
        <w:rPr>
          <w:rFonts w:ascii="Lora" w:hAnsi="Lora"/>
          <w:sz w:val="22"/>
        </w:rPr>
        <w:t xml:space="preserve"> laboratories </w:t>
      </w:r>
      <w:r w:rsidR="00760C76">
        <w:rPr>
          <w:rFonts w:ascii="Lora" w:hAnsi="Lora"/>
          <w:sz w:val="22"/>
        </w:rPr>
        <w:t>have been accredited under fixed scope st</w:t>
      </w:r>
      <w:r w:rsidRPr="00AE7310">
        <w:rPr>
          <w:rFonts w:ascii="Lora" w:hAnsi="Lora"/>
          <w:sz w:val="22"/>
        </w:rPr>
        <w:t>andar</w:t>
      </w:r>
      <w:r w:rsidR="00760C76">
        <w:rPr>
          <w:rFonts w:ascii="Lora" w:hAnsi="Lora"/>
          <w:sz w:val="22"/>
        </w:rPr>
        <w:t>ds wher</w:t>
      </w:r>
      <w:r w:rsidRPr="00AE7310">
        <w:rPr>
          <w:rFonts w:ascii="Lora" w:hAnsi="Lora"/>
          <w:sz w:val="22"/>
        </w:rPr>
        <w:t>e the range of tests covered by the laboratory’s accreditation are defined clearly and unambiguously, usually in the form of specific organism/matrix</w:t>
      </w:r>
      <w:r>
        <w:rPr>
          <w:rFonts w:ascii="Lora" w:hAnsi="Lora"/>
          <w:sz w:val="22"/>
        </w:rPr>
        <w:t xml:space="preserve"> combinations </w:t>
      </w:r>
      <w:r w:rsidRPr="000544CF">
        <w:rPr>
          <w:rFonts w:ascii="Lora" w:hAnsi="Lora"/>
          <w:sz w:val="22"/>
        </w:rPr>
        <w:t xml:space="preserve">(e.g. </w:t>
      </w:r>
      <w:r>
        <w:rPr>
          <w:rFonts w:ascii="Lora" w:hAnsi="Lora"/>
          <w:sz w:val="22"/>
        </w:rPr>
        <w:t xml:space="preserve">PCR test for detection of </w:t>
      </w:r>
      <w:r w:rsidRPr="00FD2621">
        <w:rPr>
          <w:rFonts w:ascii="Lora" w:hAnsi="Lora"/>
          <w:i/>
          <w:iCs/>
          <w:sz w:val="22"/>
        </w:rPr>
        <w:t xml:space="preserve">Thrips </w:t>
      </w:r>
      <w:proofErr w:type="spellStart"/>
      <w:r w:rsidRPr="00FD2621">
        <w:rPr>
          <w:rFonts w:ascii="Lora" w:hAnsi="Lora"/>
          <w:i/>
          <w:iCs/>
          <w:sz w:val="22"/>
        </w:rPr>
        <w:t>palmi</w:t>
      </w:r>
      <w:proofErr w:type="spellEnd"/>
      <w:r>
        <w:rPr>
          <w:rFonts w:ascii="Lora" w:hAnsi="Lora"/>
          <w:sz w:val="22"/>
        </w:rPr>
        <w:t xml:space="preserve"> in matrix</w:t>
      </w:r>
      <w:r w:rsidRPr="000544CF">
        <w:rPr>
          <w:rFonts w:ascii="Lora" w:hAnsi="Lora"/>
          <w:sz w:val="22"/>
        </w:rPr>
        <w:t>).</w:t>
      </w:r>
      <w:r>
        <w:rPr>
          <w:rFonts w:ascii="Lora" w:hAnsi="Lora"/>
          <w:sz w:val="22"/>
        </w:rPr>
        <w:t xml:space="preserve"> Before a new test can be introduced or modified (</w:t>
      </w:r>
      <w:r w:rsidR="00760C76">
        <w:rPr>
          <w:rFonts w:ascii="Lora" w:hAnsi="Lora"/>
          <w:sz w:val="22"/>
        </w:rPr>
        <w:t>i.e.</w:t>
      </w:r>
      <w:r>
        <w:rPr>
          <w:rFonts w:ascii="Lora" w:hAnsi="Lora"/>
          <w:sz w:val="22"/>
        </w:rPr>
        <w:t xml:space="preserve"> for a new organism or matrix), the assay must </w:t>
      </w:r>
      <w:r w:rsidRPr="00884219">
        <w:rPr>
          <w:rFonts w:ascii="Lora" w:hAnsi="Lora"/>
          <w:sz w:val="22"/>
        </w:rPr>
        <w:t xml:space="preserve">undergo a validation process in order to provide objective evidence to all end users that </w:t>
      </w:r>
      <w:r>
        <w:rPr>
          <w:rFonts w:ascii="Lora" w:hAnsi="Lora"/>
          <w:sz w:val="22"/>
        </w:rPr>
        <w:t>the</w:t>
      </w:r>
      <w:r w:rsidRPr="00884219">
        <w:rPr>
          <w:rFonts w:ascii="Lora" w:hAnsi="Lora"/>
          <w:sz w:val="22"/>
        </w:rPr>
        <w:t xml:space="preserve"> assay is fit for purpose</w:t>
      </w:r>
      <w:r>
        <w:rPr>
          <w:rFonts w:ascii="Lora" w:hAnsi="Lora"/>
          <w:sz w:val="22"/>
        </w:rPr>
        <w:t xml:space="preserve"> and </w:t>
      </w:r>
      <w:r w:rsidRPr="00884219">
        <w:rPr>
          <w:rFonts w:ascii="Lora" w:hAnsi="Lora"/>
          <w:sz w:val="22"/>
        </w:rPr>
        <w:t>performance parameters such as analytical sensitivity, analytical specificity, reproducibility and repeatability for every individual target designated in this</w:t>
      </w:r>
      <w:r>
        <w:rPr>
          <w:rFonts w:ascii="Lora" w:hAnsi="Lora"/>
          <w:sz w:val="22"/>
        </w:rPr>
        <w:t xml:space="preserve"> predefined</w:t>
      </w:r>
      <w:r w:rsidRPr="00884219">
        <w:rPr>
          <w:rFonts w:ascii="Lora" w:hAnsi="Lora"/>
          <w:sz w:val="22"/>
        </w:rPr>
        <w:t xml:space="preserve"> scope</w:t>
      </w:r>
      <w:r>
        <w:rPr>
          <w:rFonts w:ascii="Lora" w:hAnsi="Lora"/>
          <w:sz w:val="22"/>
        </w:rPr>
        <w:t xml:space="preserve">. </w:t>
      </w:r>
      <w:r w:rsidR="00760C76">
        <w:rPr>
          <w:rFonts w:ascii="Lora" w:hAnsi="Lora"/>
          <w:sz w:val="22"/>
        </w:rPr>
        <w:t xml:space="preserve">However, this validation framework does not readily fit with </w:t>
      </w:r>
      <w:r w:rsidR="006C506F">
        <w:rPr>
          <w:rFonts w:ascii="Lora" w:hAnsi="Lora"/>
          <w:sz w:val="22"/>
        </w:rPr>
        <w:t xml:space="preserve">novel assays such as </w:t>
      </w:r>
      <w:r w:rsidR="00760C76">
        <w:rPr>
          <w:rFonts w:ascii="Lora" w:hAnsi="Lora"/>
          <w:sz w:val="22"/>
        </w:rPr>
        <w:t xml:space="preserve">non-targeted diagnostics, due to the sheer </w:t>
      </w:r>
      <w:r w:rsidR="00760C76" w:rsidRPr="00723635">
        <w:rPr>
          <w:rFonts w:ascii="Lora" w:hAnsi="Lora"/>
          <w:sz w:val="22"/>
        </w:rPr>
        <w:t xml:space="preserve">number of </w:t>
      </w:r>
      <w:r w:rsidR="00760C76">
        <w:rPr>
          <w:rFonts w:ascii="Lora" w:hAnsi="Lora"/>
          <w:sz w:val="22"/>
        </w:rPr>
        <w:t xml:space="preserve">potential </w:t>
      </w:r>
      <w:r w:rsidR="00760C76" w:rsidRPr="00723635">
        <w:rPr>
          <w:rFonts w:ascii="Lora" w:hAnsi="Lora"/>
          <w:sz w:val="22"/>
        </w:rPr>
        <w:t>pathogens/pests, hosts and matrices</w:t>
      </w:r>
      <w:r w:rsidR="00760C76">
        <w:rPr>
          <w:rFonts w:ascii="Lora" w:hAnsi="Lora"/>
          <w:sz w:val="22"/>
        </w:rPr>
        <w:t xml:space="preserve"> that need to be tested makes this framework insufficient.</w:t>
      </w:r>
    </w:p>
    <w:p w14:paraId="77AA93CB" w14:textId="6CA0BF2E" w:rsidR="00F13B35" w:rsidRDefault="009B7F25" w:rsidP="004C1397">
      <w:pPr>
        <w:spacing w:line="360" w:lineRule="auto"/>
        <w:jc w:val="both"/>
        <w:rPr>
          <w:rFonts w:ascii="Lora" w:hAnsi="Lora"/>
          <w:sz w:val="22"/>
        </w:rPr>
      </w:pPr>
      <w:r w:rsidRPr="000544CF">
        <w:rPr>
          <w:rFonts w:ascii="Lora" w:hAnsi="Lora"/>
          <w:sz w:val="22"/>
        </w:rPr>
        <w:t>Consequently, the concept of flexible scope has been developed. A flexible scope of accreditation allows a laboratory to undertake certain tests, and to report the results as accredited, even though these tests</w:t>
      </w:r>
      <w:r>
        <w:rPr>
          <w:rFonts w:ascii="Lora" w:hAnsi="Lora"/>
          <w:sz w:val="22"/>
        </w:rPr>
        <w:t xml:space="preserve"> or taxa</w:t>
      </w:r>
      <w:r w:rsidRPr="000544CF">
        <w:rPr>
          <w:rFonts w:ascii="Lora" w:hAnsi="Lora"/>
          <w:sz w:val="22"/>
        </w:rPr>
        <w:t xml:space="preserve"> are not explicitly stated in the laboratory’s scope.</w:t>
      </w:r>
      <w:r>
        <w:rPr>
          <w:rFonts w:ascii="Lora" w:hAnsi="Lora"/>
          <w:sz w:val="22"/>
        </w:rPr>
        <w:t xml:space="preserve"> </w:t>
      </w:r>
      <w:r w:rsidR="00F13B35">
        <w:rPr>
          <w:rFonts w:ascii="Lora" w:hAnsi="Lora"/>
          <w:sz w:val="22"/>
        </w:rPr>
        <w:t xml:space="preserve">This </w:t>
      </w:r>
      <w:r w:rsidR="00596E6D">
        <w:rPr>
          <w:rFonts w:ascii="Lora" w:hAnsi="Lora"/>
          <w:sz w:val="22"/>
        </w:rPr>
        <w:t>involves</w:t>
      </w:r>
      <w:r w:rsidR="00F13B35">
        <w:rPr>
          <w:rFonts w:ascii="Lora" w:hAnsi="Lora"/>
          <w:sz w:val="22"/>
        </w:rPr>
        <w:t xml:space="preserve"> a distinct shift in attitude and requirements from being an accredited diagnostic for a specific organism/matrix combination, for example “thrips </w:t>
      </w:r>
      <w:proofErr w:type="spellStart"/>
      <w:r w:rsidR="00F13B35">
        <w:rPr>
          <w:rFonts w:ascii="Lora" w:hAnsi="Lora"/>
          <w:sz w:val="22"/>
        </w:rPr>
        <w:t>palmi</w:t>
      </w:r>
      <w:proofErr w:type="spellEnd"/>
      <w:r w:rsidR="00F13B35">
        <w:rPr>
          <w:rFonts w:ascii="Lora" w:hAnsi="Lora"/>
          <w:sz w:val="22"/>
        </w:rPr>
        <w:t xml:space="preserve"> in leaves” instead to an </w:t>
      </w:r>
      <w:proofErr w:type="spellStart"/>
      <w:r w:rsidR="00F13B35">
        <w:rPr>
          <w:rFonts w:ascii="Lora" w:hAnsi="Lora"/>
          <w:sz w:val="22"/>
        </w:rPr>
        <w:t>acredited</w:t>
      </w:r>
      <w:proofErr w:type="spellEnd"/>
      <w:r w:rsidR="00F13B35">
        <w:rPr>
          <w:rFonts w:ascii="Lora" w:hAnsi="Lora"/>
          <w:sz w:val="22"/>
        </w:rPr>
        <w:t xml:space="preserve"> diagnostic for a broader range of taxa such as “insects”, for which every taxa would not have seen “complete” validation according to PM 7/98. Flexible scope accreditation has obvious benefits for implementation of non-targeted </w:t>
      </w:r>
      <w:r w:rsidR="00FD2621">
        <w:rPr>
          <w:rFonts w:ascii="Lora" w:hAnsi="Lora"/>
          <w:sz w:val="22"/>
        </w:rPr>
        <w:t>HTS diagnostic</w:t>
      </w:r>
      <w:r w:rsidR="00F13B35">
        <w:rPr>
          <w:rFonts w:ascii="Lora" w:hAnsi="Lora"/>
          <w:sz w:val="22"/>
        </w:rPr>
        <w:t xml:space="preserve">s, particularly the </w:t>
      </w:r>
      <w:r w:rsidR="00FD2621">
        <w:rPr>
          <w:rFonts w:ascii="Lora" w:hAnsi="Lora"/>
          <w:sz w:val="22"/>
        </w:rPr>
        <w:t xml:space="preserve">flexibility </w:t>
      </w:r>
      <w:r w:rsidR="00F13B35">
        <w:rPr>
          <w:rFonts w:ascii="Lora" w:hAnsi="Lora"/>
          <w:sz w:val="22"/>
        </w:rPr>
        <w:t xml:space="preserve">to apply </w:t>
      </w:r>
      <w:r w:rsidR="00FD2621">
        <w:rPr>
          <w:rFonts w:ascii="Lora" w:hAnsi="Lora"/>
          <w:sz w:val="22"/>
        </w:rPr>
        <w:t xml:space="preserve">an already accredited test to a new set of pest/host matrices after validation. </w:t>
      </w:r>
      <w:r w:rsidR="00F13B35">
        <w:rPr>
          <w:rFonts w:ascii="Lora" w:hAnsi="Lora"/>
          <w:sz w:val="22"/>
        </w:rPr>
        <w:t>This shifts the</w:t>
      </w:r>
      <w:r w:rsidR="001070E9">
        <w:rPr>
          <w:rFonts w:ascii="Lora" w:hAnsi="Lora"/>
          <w:sz w:val="22"/>
        </w:rPr>
        <w:t xml:space="preserve"> emphasis </w:t>
      </w:r>
      <w:r w:rsidR="00F13B35">
        <w:rPr>
          <w:rFonts w:ascii="Lora" w:hAnsi="Lora"/>
          <w:sz w:val="22"/>
        </w:rPr>
        <w:t>from</w:t>
      </w:r>
      <w:r w:rsidR="001070E9">
        <w:rPr>
          <w:rFonts w:ascii="Lora" w:hAnsi="Lora"/>
          <w:sz w:val="22"/>
        </w:rPr>
        <w:t xml:space="preserve"> strict</w:t>
      </w:r>
      <w:r w:rsidR="00F13B35">
        <w:rPr>
          <w:rFonts w:ascii="Lora" w:hAnsi="Lora"/>
          <w:sz w:val="22"/>
        </w:rPr>
        <w:t xml:space="preserve"> a-priori</w:t>
      </w:r>
      <w:r w:rsidR="001070E9">
        <w:rPr>
          <w:rFonts w:ascii="Lora" w:hAnsi="Lora"/>
          <w:sz w:val="22"/>
        </w:rPr>
        <w:t xml:space="preserve"> validation </w:t>
      </w:r>
      <w:r w:rsidR="00F13B35">
        <w:rPr>
          <w:rFonts w:ascii="Lora" w:hAnsi="Lora"/>
          <w:sz w:val="22"/>
        </w:rPr>
        <w:t>to</w:t>
      </w:r>
      <w:r w:rsidR="001070E9">
        <w:rPr>
          <w:rFonts w:ascii="Lora" w:hAnsi="Lora"/>
          <w:sz w:val="22"/>
        </w:rPr>
        <w:t>wards ongoing quality assurance and demonstrated expertise of the laboratory and its staf</w:t>
      </w:r>
      <w:r w:rsidR="00F13B35">
        <w:rPr>
          <w:rFonts w:ascii="Lora" w:hAnsi="Lora"/>
          <w:sz w:val="22"/>
        </w:rPr>
        <w:t>f</w:t>
      </w:r>
      <w:r w:rsidR="001070E9">
        <w:rPr>
          <w:rFonts w:ascii="Lora" w:hAnsi="Lora"/>
          <w:sz w:val="22"/>
        </w:rPr>
        <w:t>.</w:t>
      </w:r>
      <w:r w:rsidR="007C1568">
        <w:rPr>
          <w:rFonts w:ascii="Lora" w:hAnsi="Lora"/>
          <w:sz w:val="22"/>
        </w:rPr>
        <w:t xml:space="preserve"> </w:t>
      </w:r>
      <w:r w:rsidR="001070E9">
        <w:rPr>
          <w:rFonts w:ascii="Lora" w:hAnsi="Lora"/>
          <w:sz w:val="22"/>
        </w:rPr>
        <w:t xml:space="preserve">Importantly, this does not mean freedom from validation and traditional performance </w:t>
      </w:r>
      <w:r w:rsidR="00F13B35">
        <w:rPr>
          <w:rFonts w:ascii="Lora" w:hAnsi="Lora"/>
          <w:sz w:val="22"/>
        </w:rPr>
        <w:t>criteria</w:t>
      </w:r>
      <w:r w:rsidR="001070E9">
        <w:rPr>
          <w:rFonts w:ascii="Lora" w:hAnsi="Lora"/>
          <w:sz w:val="22"/>
        </w:rPr>
        <w:t xml:space="preserve"> such as specificity, sensitivity, selectivity as well as repeatability and reproducibility will</w:t>
      </w:r>
      <w:r w:rsidR="00F13B35">
        <w:rPr>
          <w:rFonts w:ascii="Lora" w:hAnsi="Lora"/>
          <w:sz w:val="22"/>
        </w:rPr>
        <w:t xml:space="preserve"> still</w:t>
      </w:r>
      <w:r w:rsidR="001070E9">
        <w:rPr>
          <w:rFonts w:ascii="Lora" w:hAnsi="Lora"/>
          <w:sz w:val="22"/>
        </w:rPr>
        <w:t xml:space="preserve"> need to be established. However, it allows for more flexibility in obtaining these </w:t>
      </w:r>
      <w:r w:rsidR="00F13B35">
        <w:rPr>
          <w:rFonts w:ascii="Lora" w:hAnsi="Lora"/>
          <w:sz w:val="22"/>
        </w:rPr>
        <w:t>parameters, particularly</w:t>
      </w:r>
      <w:r w:rsidR="001070E9">
        <w:rPr>
          <w:rFonts w:ascii="Lora" w:hAnsi="Lora"/>
          <w:sz w:val="22"/>
        </w:rPr>
        <w:t xml:space="preserve"> </w:t>
      </w:r>
      <w:proofErr w:type="gramStart"/>
      <w:r w:rsidR="001070E9">
        <w:rPr>
          <w:rFonts w:ascii="Lora" w:hAnsi="Lora"/>
          <w:sz w:val="22"/>
        </w:rPr>
        <w:t>in light of</w:t>
      </w:r>
      <w:proofErr w:type="gramEnd"/>
      <w:r w:rsidR="001070E9">
        <w:rPr>
          <w:rFonts w:ascii="Lora" w:hAnsi="Lora"/>
          <w:sz w:val="22"/>
        </w:rPr>
        <w:t xml:space="preserve"> a lack of reference materials for many organisms</w:t>
      </w:r>
      <w:r w:rsidR="00F13B35">
        <w:rPr>
          <w:rFonts w:ascii="Lora" w:hAnsi="Lora"/>
          <w:sz w:val="22"/>
        </w:rPr>
        <w:t xml:space="preserve"> targeted by HTS assays</w:t>
      </w:r>
      <w:r w:rsidR="001070E9">
        <w:rPr>
          <w:rFonts w:ascii="Lora" w:hAnsi="Lora"/>
          <w:sz w:val="22"/>
        </w:rPr>
        <w:t>.</w:t>
      </w:r>
    </w:p>
    <w:p w14:paraId="08CCC9EB" w14:textId="4FD50D39" w:rsidR="004C1397" w:rsidRDefault="00F13B35" w:rsidP="004C1397">
      <w:pPr>
        <w:spacing w:line="360" w:lineRule="auto"/>
        <w:jc w:val="both"/>
        <w:rPr>
          <w:rFonts w:ascii="Lora" w:hAnsi="Lora"/>
          <w:sz w:val="22"/>
        </w:rPr>
      </w:pPr>
      <w:r>
        <w:rPr>
          <w:rFonts w:ascii="Lora" w:hAnsi="Lora"/>
          <w:sz w:val="22"/>
        </w:rPr>
        <w:t xml:space="preserve">The incorporation of </w:t>
      </w:r>
      <w:r w:rsidR="001070E9">
        <w:rPr>
          <w:rFonts w:ascii="Lora" w:hAnsi="Lora"/>
          <w:sz w:val="22"/>
        </w:rPr>
        <w:t xml:space="preserve">In-silico methods into assay validation and QC have become increasingly important within flexible-scope accreditation, especially for non-targeted assays. </w:t>
      </w:r>
      <w:r>
        <w:rPr>
          <w:rFonts w:ascii="Lora" w:hAnsi="Lora"/>
          <w:sz w:val="22"/>
        </w:rPr>
        <w:t>This allows a dramatic scale up.</w:t>
      </w:r>
    </w:p>
    <w:p w14:paraId="37C5FF43" w14:textId="77777777" w:rsidR="00F662C9" w:rsidRDefault="00F662C9" w:rsidP="00F662C9">
      <w:pPr>
        <w:spacing w:line="360" w:lineRule="auto"/>
        <w:jc w:val="both"/>
        <w:rPr>
          <w:rFonts w:ascii="Lora" w:hAnsi="Lora"/>
          <w:sz w:val="22"/>
        </w:rPr>
      </w:pPr>
      <w:r>
        <w:rPr>
          <w:rFonts w:ascii="Lora" w:hAnsi="Lora"/>
          <w:sz w:val="22"/>
        </w:rPr>
        <w:lastRenderedPageBreak/>
        <w:t>A</w:t>
      </w:r>
      <w:r w:rsidRPr="00884219">
        <w:rPr>
          <w:rFonts w:ascii="Lora" w:hAnsi="Lora"/>
          <w:sz w:val="22"/>
        </w:rPr>
        <w:t xml:space="preserve"> decision framework should be deve</w:t>
      </w:r>
      <w:r>
        <w:rPr>
          <w:rFonts w:ascii="Lora" w:hAnsi="Lora"/>
          <w:sz w:val="22"/>
        </w:rPr>
        <w:t>l</w:t>
      </w:r>
      <w:r w:rsidRPr="00884219">
        <w:rPr>
          <w:rFonts w:ascii="Lora" w:hAnsi="Lora"/>
          <w:sz w:val="22"/>
        </w:rPr>
        <w:t>oped for evaluating incidental detections that sets out steps for further characterization and risk assessment for the detected organisms in order to establish whether eradication or other management actions are appropriate or achievable</w:t>
      </w:r>
      <w:r>
        <w:rPr>
          <w:rFonts w:ascii="Lora" w:hAnsi="Lora"/>
          <w:sz w:val="22"/>
        </w:rPr>
        <w:t xml:space="preserve">. An essential first step of this decision framework is knowing whether the assay has the appropriate specificity and sensitivity to accurately regard the detection as </w:t>
      </w:r>
      <w:proofErr w:type="gramStart"/>
      <w:r>
        <w:rPr>
          <w:rFonts w:ascii="Lora" w:hAnsi="Lora"/>
          <w:sz w:val="22"/>
        </w:rPr>
        <w:t>suspect, or</w:t>
      </w:r>
      <w:proofErr w:type="gramEnd"/>
      <w:r>
        <w:rPr>
          <w:rFonts w:ascii="Lora" w:hAnsi="Lora"/>
          <w:sz w:val="22"/>
        </w:rPr>
        <w:t xml:space="preserve"> is it merely the detection of a closely related or problem group (see Batovska 2020). Having validation data on all the possible detected pests a-priori will dramatically speed up diagnostic turnaround and response.</w:t>
      </w:r>
    </w:p>
    <w:p w14:paraId="00BBA72F" w14:textId="285F3AEE" w:rsidR="00C54AFA" w:rsidRDefault="00A84DC8" w:rsidP="00C54AFA">
      <w:pPr>
        <w:spacing w:line="360" w:lineRule="auto"/>
        <w:jc w:val="both"/>
        <w:rPr>
          <w:rFonts w:ascii="Lora" w:hAnsi="Lora"/>
          <w:sz w:val="22"/>
        </w:rPr>
      </w:pPr>
      <w:r>
        <w:rPr>
          <w:rFonts w:ascii="Lora" w:hAnsi="Lora"/>
          <w:sz w:val="22"/>
        </w:rPr>
        <w:t xml:space="preserve">For metabarcoding assays, appropriate design and selection of PCR </w:t>
      </w:r>
      <w:r w:rsidR="001259FD">
        <w:rPr>
          <w:rFonts w:ascii="Lora" w:hAnsi="Lora"/>
          <w:sz w:val="22"/>
        </w:rPr>
        <w:t>p</w:t>
      </w:r>
      <w:r w:rsidR="001259FD" w:rsidRPr="00C54AFA">
        <w:rPr>
          <w:rFonts w:ascii="Lora" w:hAnsi="Lora"/>
          <w:sz w:val="22"/>
        </w:rPr>
        <w:t>rimers</w:t>
      </w:r>
      <w:r w:rsidR="001259FD">
        <w:rPr>
          <w:rFonts w:ascii="Lora" w:hAnsi="Lora"/>
          <w:sz w:val="22"/>
        </w:rPr>
        <w:t xml:space="preserve"> play </w:t>
      </w:r>
      <w:r w:rsidR="007C1568">
        <w:rPr>
          <w:rFonts w:ascii="Lora" w:hAnsi="Lora"/>
          <w:sz w:val="22"/>
        </w:rPr>
        <w:t>the most important rol</w:t>
      </w:r>
      <w:r>
        <w:rPr>
          <w:rFonts w:ascii="Lora" w:hAnsi="Lora"/>
          <w:sz w:val="22"/>
        </w:rPr>
        <w:t>e</w:t>
      </w:r>
      <w:r w:rsidR="001259FD">
        <w:rPr>
          <w:rFonts w:ascii="Lora" w:hAnsi="Lora"/>
          <w:sz w:val="22"/>
        </w:rPr>
        <w:t xml:space="preserve"> in determining the sensitivity and specificity of the assay, and therefore whether a</w:t>
      </w:r>
      <w:r w:rsidR="004960FA">
        <w:rPr>
          <w:rFonts w:ascii="Lora" w:hAnsi="Lora"/>
          <w:sz w:val="22"/>
        </w:rPr>
        <w:t xml:space="preserve"> </w:t>
      </w:r>
      <w:r>
        <w:rPr>
          <w:rFonts w:ascii="Lora" w:hAnsi="Lora"/>
          <w:sz w:val="22"/>
        </w:rPr>
        <w:t>detection</w:t>
      </w:r>
      <w:r w:rsidR="001259FD">
        <w:rPr>
          <w:rFonts w:ascii="Lora" w:hAnsi="Lora"/>
          <w:sz w:val="22"/>
        </w:rPr>
        <w:t xml:space="preserve"> should be trusted. While t</w:t>
      </w:r>
      <w:r w:rsidR="001259FD" w:rsidRPr="00C54AFA">
        <w:rPr>
          <w:rFonts w:ascii="Lora" w:hAnsi="Lora"/>
          <w:sz w:val="22"/>
        </w:rPr>
        <w:t xml:space="preserve">he 658-bp </w:t>
      </w:r>
      <w:r w:rsidR="001259FD">
        <w:rPr>
          <w:rFonts w:ascii="Lora" w:hAnsi="Lora"/>
          <w:sz w:val="22"/>
        </w:rPr>
        <w:t>‘</w:t>
      </w:r>
      <w:proofErr w:type="spellStart"/>
      <w:r w:rsidR="001259FD">
        <w:rPr>
          <w:rFonts w:ascii="Lora" w:hAnsi="Lora"/>
          <w:sz w:val="22"/>
        </w:rPr>
        <w:t>folmer</w:t>
      </w:r>
      <w:proofErr w:type="spellEnd"/>
      <w:r w:rsidR="001259FD">
        <w:rPr>
          <w:rFonts w:ascii="Lora" w:hAnsi="Lora"/>
          <w:sz w:val="22"/>
        </w:rPr>
        <w:t xml:space="preserve">’ </w:t>
      </w:r>
      <w:r w:rsidR="001259FD" w:rsidRPr="00C54AFA">
        <w:rPr>
          <w:rFonts w:ascii="Lora" w:hAnsi="Lora"/>
          <w:sz w:val="22"/>
        </w:rPr>
        <w:t xml:space="preserve">region of </w:t>
      </w:r>
      <w:r w:rsidR="005355EB" w:rsidRPr="00E33E6A">
        <w:rPr>
          <w:rFonts w:ascii="Lora" w:hAnsi="Lora" w:cs="Times New Roman"/>
          <w:sz w:val="22"/>
        </w:rPr>
        <w:t xml:space="preserve">COI </w:t>
      </w:r>
      <w:r w:rsidR="005355EB" w:rsidRPr="00E33E6A">
        <w:rPr>
          <w:rFonts w:ascii="Lora" w:hAnsi="Lora" w:cs="Times New Roman"/>
          <w:sz w:val="22"/>
        </w:rPr>
        <w:fldChar w:fldCharType="begin" w:fldLock="1"/>
      </w:r>
      <w:r w:rsidR="005355EB" w:rsidRPr="00E33E6A">
        <w:rPr>
          <w:rFonts w:ascii="Lora" w:hAnsi="Lora" w:cs="Times New Roman"/>
          <w:sz w:val="22"/>
        </w:rPr>
        <w:instrText>ADDIN CSL_CITATION {"citationItems":[{"id":"ITEM-1","itemData":{"DOI":"10.1371/journal.pone.0013102","ISBN":"1053-6426","ISSN":"1053-6426","PMID":"7881515","abstract":"We describe \"universal\" DNA primers for polymerase chain reaction (PCR) amplification of a 710-bp fragment of the mitochondrial cytochrome c oxidase subunit I gene (COI) from 11 invertebrate phyla: Echinodermata, Mollusca, Annelida, Pogonophora, Arthropoda, Nemertinea, Echiura, Sipuncula, Platyhelminthes, Tardigrada, and Coelenterata, as well as the putative phylum Vestimentifera. Preliminary comparisons revealed that these COI primers generate informative sequences for phylogenetic analyses at the species and higher taxonomic levels.","author":[{"dropping-particle":"","family":"Folmer","given":"O.","non-dropping-particle":"","parse-names":false,"suffix":""},{"dropping-particle":"","family":"Black","given":"M.","non-dropping-particle":"","parse-names":false,"suffix":""},{"dropping-particle":"","family":"Hoeh","given":"W.","non-dropping-particle":"","parse-names":false,"suffix":""},{"dropping-particle":"","family":"Lutz","given":"R.","non-dropping-particle":"","parse-names":false,"suffix":""},{"dropping-particle":"","family":"Vrijenhoek","given":"R.","non-dropping-particle":"","parse-names":false,"suffix":""}],"container-title":"Molecular Marine Biology and Biotechnology","id":"ITEM-1","issue":"5","issued":{"date-parts":[["1994"]]},"page":"294-299","title":"DNA primers for amplification of mitochondrial cytochrome c oxidase subunit I from diverse metazoan invertebrates","type":"article-journal","volume":"3"},"uris":["http://www.mendeley.com/documents/?uuid=ee9e97e4-f9b9-4cec-be28-e58486d521c8"]}],"mendeley":{"formattedCitation":"(Folmer, Black, Hoeh, Lutz, &amp; Vrijenhoek, 1994)","plainTextFormattedCitation":"(Folmer, Black, Hoeh, Lutz, &amp; Vrijenhoek, 1994)","previouslyFormattedCitation":"(Folmer, Black, Hoeh, Lutz, &amp; Vrijenhoek, 1994)"},"properties":{"noteIndex":0},"schema":"https://github.com/citation-style-language/schema/raw/master/csl-citation.json"}</w:instrText>
      </w:r>
      <w:r w:rsidR="005355EB" w:rsidRPr="00E33E6A">
        <w:rPr>
          <w:rFonts w:ascii="Lora" w:hAnsi="Lora" w:cs="Times New Roman"/>
          <w:sz w:val="22"/>
        </w:rPr>
        <w:fldChar w:fldCharType="separate"/>
      </w:r>
      <w:r w:rsidR="005355EB" w:rsidRPr="00E33E6A">
        <w:rPr>
          <w:rFonts w:ascii="Lora" w:hAnsi="Lora" w:cs="Times New Roman"/>
          <w:noProof/>
          <w:sz w:val="22"/>
        </w:rPr>
        <w:t>(Folmer, Black, Hoeh, Lutz, &amp; Vrijenhoek, 1994)</w:t>
      </w:r>
      <w:r w:rsidR="005355EB" w:rsidRPr="00E33E6A">
        <w:rPr>
          <w:rFonts w:ascii="Lora" w:hAnsi="Lora" w:cs="Times New Roman"/>
          <w:sz w:val="22"/>
        </w:rPr>
        <w:fldChar w:fldCharType="end"/>
      </w:r>
      <w:r w:rsidR="005355EB">
        <w:rPr>
          <w:rFonts w:ascii="Lora" w:hAnsi="Lora" w:cs="Times New Roman"/>
          <w:sz w:val="22"/>
        </w:rPr>
        <w:t xml:space="preserve"> </w:t>
      </w:r>
      <w:r w:rsidR="00596E6D">
        <w:rPr>
          <w:rFonts w:ascii="Lora" w:hAnsi="Lora"/>
          <w:sz w:val="22"/>
        </w:rPr>
        <w:t xml:space="preserve">has been </w:t>
      </w:r>
      <w:r w:rsidR="004960FA">
        <w:rPr>
          <w:rFonts w:ascii="Lora" w:hAnsi="Lora"/>
          <w:sz w:val="22"/>
        </w:rPr>
        <w:t>widely</w:t>
      </w:r>
      <w:r w:rsidR="001259FD">
        <w:rPr>
          <w:rFonts w:ascii="Lora" w:hAnsi="Lora"/>
          <w:sz w:val="22"/>
        </w:rPr>
        <w:t xml:space="preserve"> </w:t>
      </w:r>
      <w:r w:rsidR="00596E6D">
        <w:rPr>
          <w:rFonts w:ascii="Lora" w:hAnsi="Lora"/>
          <w:sz w:val="22"/>
        </w:rPr>
        <w:t xml:space="preserve">employed for single species </w:t>
      </w:r>
      <w:r w:rsidR="001259FD">
        <w:rPr>
          <w:rFonts w:ascii="Lora" w:hAnsi="Lora"/>
          <w:sz w:val="22"/>
        </w:rPr>
        <w:t>diagnostics</w:t>
      </w:r>
      <w:r w:rsidR="004960FA">
        <w:rPr>
          <w:rFonts w:ascii="Lora" w:hAnsi="Lora"/>
          <w:sz w:val="22"/>
        </w:rPr>
        <w:t xml:space="preserve"> of insect pests</w:t>
      </w:r>
      <w:r w:rsidR="00596E6D">
        <w:rPr>
          <w:rFonts w:ascii="Lora" w:hAnsi="Lora"/>
          <w:sz w:val="22"/>
        </w:rPr>
        <w:t xml:space="preserve"> via conventional DNA barcoding</w:t>
      </w:r>
      <w:r w:rsidR="005355EB">
        <w:rPr>
          <w:rFonts w:ascii="Lora" w:hAnsi="Lora"/>
          <w:sz w:val="22"/>
        </w:rPr>
        <w:t xml:space="preserve"> </w:t>
      </w:r>
      <w:r w:rsidR="005355EB" w:rsidRPr="00E33E6A">
        <w:rPr>
          <w:rFonts w:ascii="Lora" w:hAnsi="Lora" w:cs="Times New Roman"/>
          <w:sz w:val="22"/>
        </w:rPr>
        <w:fldChar w:fldCharType="begin" w:fldLock="1"/>
      </w:r>
      <w:r w:rsidR="005355EB" w:rsidRPr="00E33E6A">
        <w:rPr>
          <w:rFonts w:ascii="Lora" w:hAnsi="Lora" w:cs="Times New Roman"/>
          <w:sz w:val="22"/>
        </w:rPr>
        <w:instrText>ADDIN CSL_CITATION {"citationItems":[{"id":"ITEM-1","itemData":{"DOI":"10.1139/gen-2016-0024","ISBN":"2013112033","ISSN":"08312796 (ISSN)","abstract":"© 2016 Published by NRC Research Press.Many of the arthropod species that are important pests of agriculture and forestry are impossible to discriminate morphologically throughout all of their life stages. Some cannot be differentiated at any life stage. Over the past decade, DNA barcoding has gained increasing adoption as a tool to both identify known species and to reveal cryptic taxa. Although there has not been a focused effort to develop a barcode library for them, reference sequences are now available for 77% of the 409 species of arthropods documented on major pest databases. Aside from developing the reference library needed to guide specimen identifications, past barcode studies have revealed that a significant fraction of arthropod pests are a complex of allied taxa. Because of their importance as pests and disease vectors impacting global agriculture and forestry, DNA barcode results on these arthropods have significant implications for quarantine detection, regulation, and management. The current review discusses these implications in light of the presence of cryptic species in plant pests exposed by DNA barcoding.","author":[{"dropping-particle":"","family":"Ashfaq","given":"Muhammad","non-dropping-particle":"","parse-names":false,"suffix":""},{"dropping-particle":"","family":"Hebert","given":"P.D.N. Paul D.N.","non-dropping-particle":"","parse-names":false,"suffix":""},{"dropping-particle":"","family":"Naaum","given":"Amanda","non-dropping-particle":"","parse-names":false,"suffix":""}],"container-title":"Genome","id":"ITEM-1","issue":"11","issued":{"date-parts":[["2016"]]},"page":"933-945","title":"DNA barcodes for bio-surveillance: Regulated and economically important arthropod plant pests","type":"article-journal","volume":"59"},"uris":["http://www.mendeley.com/documents/?uuid=920a7c04-1f88-4d3b-8ab8-d16261ecc8d1"]}],"mendeley":{"formattedCitation":"(Ashfaq, Hebert, &amp; Naaum, 2016)","plainTextFormattedCitation":"(Ashfaq, Hebert, &amp; Naaum, 2016)","previouslyFormattedCitation":"(Ashfaq, Hebert, &amp; Naaum, 2016)"},"properties":{"noteIndex":0},"schema":"https://github.com/citation-style-language/schema/raw/master/csl-citation.json"}</w:instrText>
      </w:r>
      <w:r w:rsidR="005355EB" w:rsidRPr="00E33E6A">
        <w:rPr>
          <w:rFonts w:ascii="Lora" w:hAnsi="Lora" w:cs="Times New Roman"/>
          <w:sz w:val="22"/>
        </w:rPr>
        <w:fldChar w:fldCharType="separate"/>
      </w:r>
      <w:r w:rsidR="005355EB" w:rsidRPr="00E33E6A">
        <w:rPr>
          <w:rFonts w:ascii="Lora" w:hAnsi="Lora" w:cs="Times New Roman"/>
          <w:noProof/>
          <w:sz w:val="22"/>
        </w:rPr>
        <w:t>(Ashfaq, Hebert, &amp; Naaum, 2016)</w:t>
      </w:r>
      <w:r w:rsidR="005355EB" w:rsidRPr="00E33E6A">
        <w:rPr>
          <w:rFonts w:ascii="Lora" w:hAnsi="Lora" w:cs="Times New Roman"/>
          <w:sz w:val="22"/>
        </w:rPr>
        <w:fldChar w:fldCharType="end"/>
      </w:r>
      <w:r w:rsidR="00596E6D">
        <w:rPr>
          <w:rFonts w:ascii="Lora" w:hAnsi="Lora" w:cs="Times New Roman"/>
          <w:sz w:val="22"/>
        </w:rPr>
        <w:t>,</w:t>
      </w:r>
      <w:r w:rsidR="001259FD">
        <w:rPr>
          <w:rFonts w:ascii="Lora" w:hAnsi="Lora"/>
          <w:sz w:val="22"/>
        </w:rPr>
        <w:t xml:space="preserve"> modern H</w:t>
      </w:r>
      <w:r w:rsidR="001259FD" w:rsidRPr="00C54AFA">
        <w:rPr>
          <w:rFonts w:ascii="Lora" w:hAnsi="Lora"/>
          <w:sz w:val="22"/>
        </w:rPr>
        <w:t xml:space="preserve">TS platforms impose strict limitations </w:t>
      </w:r>
      <w:r w:rsidR="001259FD">
        <w:rPr>
          <w:rFonts w:ascii="Lora" w:hAnsi="Lora"/>
          <w:sz w:val="22"/>
        </w:rPr>
        <w:t>on</w:t>
      </w:r>
      <w:r w:rsidR="001259FD" w:rsidRPr="00C54AFA">
        <w:rPr>
          <w:rFonts w:ascii="Lora" w:hAnsi="Lora"/>
          <w:sz w:val="22"/>
        </w:rPr>
        <w:t xml:space="preserve"> molecule length that can be sequenced</w:t>
      </w:r>
      <w:r w:rsidR="001259FD">
        <w:rPr>
          <w:rFonts w:ascii="Lora" w:hAnsi="Lora"/>
          <w:sz w:val="22"/>
        </w:rPr>
        <w:t xml:space="preserve">. </w:t>
      </w:r>
      <w:r w:rsidR="00596E6D">
        <w:rPr>
          <w:rFonts w:ascii="Lora" w:hAnsi="Lora"/>
          <w:sz w:val="22"/>
        </w:rPr>
        <w:t xml:space="preserve">Therefore, </w:t>
      </w:r>
      <w:r w:rsidR="001259FD">
        <w:rPr>
          <w:rFonts w:ascii="Lora" w:hAnsi="Lora"/>
          <w:sz w:val="22"/>
        </w:rPr>
        <w:t xml:space="preserve">alternative (refs) or smaller stretches of the conventional barcode region </w:t>
      </w:r>
      <w:r w:rsidR="005355EB" w:rsidRPr="00E33E6A">
        <w:rPr>
          <w:rFonts w:ascii="Lora" w:hAnsi="Lora" w:cs="Times New Roman"/>
          <w:sz w:val="22"/>
        </w:rPr>
        <w:t>or ‘mini-</w:t>
      </w:r>
      <w:proofErr w:type="spellStart"/>
      <w:r w:rsidR="005355EB" w:rsidRPr="00E33E6A">
        <w:rPr>
          <w:rFonts w:ascii="Lora" w:hAnsi="Lora" w:cs="Times New Roman"/>
          <w:sz w:val="22"/>
        </w:rPr>
        <w:t>barcodes’</w:t>
      </w:r>
      <w:proofErr w:type="spellEnd"/>
      <w:r w:rsidR="005355EB" w:rsidRPr="00E33E6A">
        <w:rPr>
          <w:rFonts w:ascii="Lora" w:hAnsi="Lora" w:cs="Times New Roman"/>
          <w:sz w:val="22"/>
        </w:rPr>
        <w:t xml:space="preserve"> must </w:t>
      </w:r>
      <w:r w:rsidR="005355EB">
        <w:rPr>
          <w:rFonts w:ascii="Lora" w:hAnsi="Lora" w:cs="Times New Roman"/>
          <w:sz w:val="22"/>
        </w:rPr>
        <w:t xml:space="preserve">instead </w:t>
      </w:r>
      <w:r w:rsidR="005355EB" w:rsidRPr="00E33E6A">
        <w:rPr>
          <w:rFonts w:ascii="Lora" w:hAnsi="Lora" w:cs="Times New Roman"/>
          <w:sz w:val="22"/>
        </w:rPr>
        <w:t xml:space="preserve">be used </w:t>
      </w:r>
      <w:r w:rsidR="005355EB" w:rsidRPr="00E33E6A">
        <w:rPr>
          <w:rFonts w:ascii="Lora" w:hAnsi="Lora" w:cs="Times New Roman"/>
          <w:sz w:val="22"/>
        </w:rPr>
        <w:fldChar w:fldCharType="begin" w:fldLock="1"/>
      </w:r>
      <w:r w:rsidR="005355EB" w:rsidRPr="00E33E6A">
        <w:rPr>
          <w:rFonts w:ascii="Lora" w:hAnsi="Lora" w:cs="Times New Roman"/>
          <w:sz w:val="22"/>
        </w:rPr>
        <w:instrText>ADDIN CSL_CITATION {"citationItems":[{"id":"ITEM-1","itemData":{"DOI":"10.1017/S0007485315000681","ISBN":"1475-2670","ISSN":"14752670","PMID":"26344799","abstract":"&lt;p&gt;Metabarcoding, the coupling of DNA-based species identification and high-throughput sequencing, offers enormous promise for arthropod biodiversity studies but factors such as cost, speed and ease-of-use of bioinformatic pipelines, crucial for making the leapt from demonstration studies to a real-world application, have not yet been adequately addressed. Here, four published and one newly designed primer sets were tested across a diverse set of 80 arthropod species, representing 11 orders, to establish optimal protocols for Illumina-based metabarcoding of tropical Malaise trap samples. Two primer sets which showed the highest amplification success with individual specimen polymerase chain reaction (PCR, 98%) were used for bulk PCR and Illumina MiSeq sequencing. The sequencing outputs were subjected to both manual and simple metagenomics quality control and filtering pipelines. We obtained acceptable detection rates after bulk PCR and high-throughput sequencing (80–90% of input species) but analyses were complicated by putative heteroplasmic sequences and contamination. The manual pipeline produced similar or better outputs to the simple metagenomics pipeline (1.4 compared with 0.5 expected:unexpected Operational Taxonomic Units). Our study suggests that metabarcoding is slowly becoming as cheap, fast and easy as conventional DNA barcoding, and that Malaise trap metabarcoding may soon fulfill its potential, providing a thermometer for biodiversity.&lt;/p&gt;","author":[{"dropping-particle":"","family":"Brandon-Mong","given":"G.-J. J.","non-dropping-particle":"","parse-names":false,"suffix":""},{"dropping-particle":"","family":"Gan","given":"H.-M. M.","non-dropping-particle":"","parse-names":false,"suffix":""},{"dropping-particle":"","family":"Sing","given":"K.-W. W.","non-dropping-particle":"","parse-names":false,"suffix":""},{"dropping-particle":"","family":"Lee","given":"P.-S. S.","non-dropping-particle":"","parse-names":false,"suffix":""},{"dropping-particle":"","family":"Lim","given":"P.-E. E.","non-dropping-particle":"","parse-names":false,"suffix":""},{"dropping-particle":"","family":"Wilson","given":"J.-J. J.","non-dropping-particle":"","parse-names":false,"suffix":""}],"container-title":"Bulletin of Entomological Research","id":"ITEM-1","issue":"6","issued":{"date-parts":[["2015"]]},"page":"717-727","title":"DNA metabarcoding of insects and allies: An evaluation of primers and pipelines","type":"article-journal","volume":"105"},"uris":["http://www.mendeley.com/documents/?uuid=469fe6c1-da24-40ed-b168-294291b6d1a4"]}],"mendeley":{"formattedCitation":"(Brandon-Mong et al., 2015)","plainTextFormattedCitation":"(Brandon-Mong et al., 2015)","previouslyFormattedCitation":"(Brandon-Mong et al., 2015)"},"properties":{"noteIndex":0},"schema":"https://github.com/citation-style-language/schema/raw/master/csl-citation.json"}</w:instrText>
      </w:r>
      <w:r w:rsidR="005355EB" w:rsidRPr="00E33E6A">
        <w:rPr>
          <w:rFonts w:ascii="Lora" w:hAnsi="Lora" w:cs="Times New Roman"/>
          <w:sz w:val="22"/>
        </w:rPr>
        <w:fldChar w:fldCharType="separate"/>
      </w:r>
      <w:r w:rsidR="005355EB" w:rsidRPr="00E33E6A">
        <w:rPr>
          <w:rFonts w:ascii="Lora" w:hAnsi="Lora" w:cs="Times New Roman"/>
          <w:noProof/>
          <w:sz w:val="22"/>
        </w:rPr>
        <w:t>(Brandon-Mong et al., 2015)</w:t>
      </w:r>
      <w:r w:rsidR="005355EB" w:rsidRPr="00E33E6A">
        <w:rPr>
          <w:rFonts w:ascii="Lora" w:hAnsi="Lora" w:cs="Times New Roman"/>
          <w:sz w:val="22"/>
        </w:rPr>
        <w:fldChar w:fldCharType="end"/>
      </w:r>
      <w:r w:rsidR="005355EB" w:rsidRPr="00E33E6A">
        <w:rPr>
          <w:rFonts w:ascii="Lora" w:hAnsi="Lora" w:cs="Times New Roman"/>
          <w:sz w:val="22"/>
        </w:rPr>
        <w:t xml:space="preserve">. </w:t>
      </w:r>
      <w:r w:rsidR="005355EB">
        <w:rPr>
          <w:rFonts w:ascii="Lora" w:hAnsi="Lora"/>
          <w:sz w:val="22"/>
        </w:rPr>
        <w:t xml:space="preserve"> </w:t>
      </w:r>
      <w:r w:rsidR="005355EB" w:rsidRPr="00E33E6A">
        <w:rPr>
          <w:rFonts w:ascii="Lora" w:hAnsi="Lora" w:cs="Times New Roman"/>
          <w:sz w:val="22"/>
        </w:rPr>
        <w:t xml:space="preserve">This has resulted in the proliferation of new primer sets that have not yet been validated for effectiveness, or for their ability to diagnose pest insect species. </w:t>
      </w:r>
      <w:r w:rsidR="005355EB">
        <w:rPr>
          <w:rFonts w:ascii="Lora" w:hAnsi="Lora"/>
          <w:sz w:val="22"/>
        </w:rPr>
        <w:t>E</w:t>
      </w:r>
      <w:r w:rsidR="005355EB" w:rsidRPr="00E33E6A">
        <w:rPr>
          <w:rFonts w:ascii="Lora" w:hAnsi="Lora"/>
          <w:sz w:val="22"/>
        </w:rPr>
        <w:t>nsuring the accuracy of these detections is paramount as both false positive or negative detections of pest species can lead to severe environmental and economic consequences</w:t>
      </w:r>
      <w:r w:rsidR="005355EB">
        <w:rPr>
          <w:rFonts w:ascii="Lora" w:hAnsi="Lora"/>
          <w:sz w:val="22"/>
        </w:rPr>
        <w:t>. Despite several studies now applying metabarcoding to diagnostics of insect pests (refs), the applicability</w:t>
      </w:r>
      <w:r w:rsidR="001259FD">
        <w:rPr>
          <w:rFonts w:ascii="Lora" w:hAnsi="Lora"/>
          <w:sz w:val="22"/>
        </w:rPr>
        <w:t xml:space="preserve"> of these smaller barcode regions</w:t>
      </w:r>
      <w:r w:rsidR="005355EB">
        <w:rPr>
          <w:rFonts w:ascii="Lora" w:hAnsi="Lora"/>
          <w:sz w:val="22"/>
        </w:rPr>
        <w:t xml:space="preserve"> to a broad diversity range of insect pests</w:t>
      </w:r>
      <w:r w:rsidR="001259FD">
        <w:rPr>
          <w:rFonts w:ascii="Lora" w:hAnsi="Lora"/>
          <w:sz w:val="22"/>
        </w:rPr>
        <w:t xml:space="preserve"> has not yet been systematically evaluated. If </w:t>
      </w:r>
      <w:r w:rsidR="005355EB">
        <w:rPr>
          <w:rFonts w:ascii="Lora" w:hAnsi="Lora"/>
          <w:sz w:val="22"/>
        </w:rPr>
        <w:t xml:space="preserve">universal </w:t>
      </w:r>
      <w:r w:rsidR="00596E6D">
        <w:rPr>
          <w:rFonts w:ascii="Lora" w:hAnsi="Lora"/>
          <w:sz w:val="22"/>
        </w:rPr>
        <w:t>mini primers</w:t>
      </w:r>
      <w:r w:rsidR="005355EB">
        <w:rPr>
          <w:rFonts w:ascii="Lora" w:hAnsi="Lora"/>
          <w:sz w:val="22"/>
        </w:rPr>
        <w:t xml:space="preserve"> are to be used</w:t>
      </w:r>
      <w:r w:rsidR="001259FD">
        <w:rPr>
          <w:rFonts w:ascii="Lora" w:hAnsi="Lora"/>
          <w:sz w:val="22"/>
        </w:rPr>
        <w:t xml:space="preserve"> are to be used in a situation</w:t>
      </w:r>
      <w:r w:rsidR="005355EB">
        <w:rPr>
          <w:rFonts w:ascii="Lora" w:hAnsi="Lora"/>
          <w:sz w:val="22"/>
        </w:rPr>
        <w:t xml:space="preserve"> where there is potential for the incidental detection of unexpected and unvalidated taxa,</w:t>
      </w:r>
      <w:r w:rsidR="001259FD">
        <w:rPr>
          <w:rFonts w:ascii="Lora" w:hAnsi="Lora"/>
          <w:sz w:val="22"/>
        </w:rPr>
        <w:t xml:space="preserve"> </w:t>
      </w:r>
      <w:r w:rsidR="005355EB">
        <w:rPr>
          <w:rFonts w:ascii="Lora" w:hAnsi="Lora"/>
          <w:sz w:val="22"/>
        </w:rPr>
        <w:t xml:space="preserve">at the minimum </w:t>
      </w:r>
      <w:r w:rsidR="001259FD">
        <w:rPr>
          <w:rFonts w:ascii="Lora" w:hAnsi="Lora"/>
          <w:sz w:val="22"/>
        </w:rPr>
        <w:t>it should be known in advanced</w:t>
      </w:r>
      <w:r w:rsidR="005355EB">
        <w:rPr>
          <w:rFonts w:ascii="Lora" w:hAnsi="Lora"/>
          <w:sz w:val="22"/>
        </w:rPr>
        <w:t xml:space="preserve"> if that detection can be relied upon. </w:t>
      </w:r>
      <w:r w:rsidR="00596E6D">
        <w:rPr>
          <w:rFonts w:ascii="Lora" w:hAnsi="Lora"/>
          <w:sz w:val="22"/>
        </w:rPr>
        <w:t>In addition to concerns of taxonomic resolution.</w:t>
      </w:r>
      <w:r w:rsidR="00596E6D" w:rsidRPr="00C54AFA">
        <w:rPr>
          <w:rFonts w:ascii="Lora" w:hAnsi="Lora"/>
          <w:sz w:val="22"/>
        </w:rPr>
        <w:t xml:space="preserve"> Because COI is a protein-coding gene, the third position of codons can be variable, leaving no strictly conserved nucleotide sites for design of universal PCR primers</w:t>
      </w:r>
      <w:r w:rsidR="00596E6D">
        <w:rPr>
          <w:rFonts w:ascii="Lora" w:hAnsi="Lora"/>
          <w:sz w:val="22"/>
        </w:rPr>
        <w:t>. PCR bias can cause deviation from expected proportions.  While most biosecurity studies are aiming just for detection, quantification can provide an advantage. Furthermore, when bias is too high it can swamp out low abundance taxa.</w:t>
      </w:r>
    </w:p>
    <w:p w14:paraId="163FB753" w14:textId="6EBEBBE4" w:rsidR="00A91AD2" w:rsidRDefault="00A91AD2" w:rsidP="00A91AD2">
      <w:pPr>
        <w:spacing w:line="360" w:lineRule="auto"/>
        <w:jc w:val="both"/>
        <w:rPr>
          <w:rFonts w:ascii="Lora" w:hAnsi="Lora"/>
          <w:sz w:val="22"/>
        </w:rPr>
      </w:pPr>
      <w:r>
        <w:rPr>
          <w:rFonts w:ascii="Lora" w:hAnsi="Lora"/>
          <w:sz w:val="22"/>
        </w:rPr>
        <w:lastRenderedPageBreak/>
        <w:t xml:space="preserve">Here we </w:t>
      </w:r>
      <w:r w:rsidR="00F13B35">
        <w:rPr>
          <w:rFonts w:ascii="Lora" w:hAnsi="Lora"/>
          <w:sz w:val="22"/>
        </w:rPr>
        <w:t xml:space="preserve">provide a framework for </w:t>
      </w:r>
      <w:r>
        <w:rPr>
          <w:rFonts w:ascii="Lora" w:hAnsi="Lora"/>
          <w:sz w:val="22"/>
        </w:rPr>
        <w:t xml:space="preserve">in-silico evaluation of </w:t>
      </w:r>
      <w:r w:rsidR="00F13B35">
        <w:rPr>
          <w:rFonts w:ascii="Lora" w:hAnsi="Lora"/>
          <w:sz w:val="22"/>
        </w:rPr>
        <w:t>non-</w:t>
      </w:r>
      <w:r w:rsidR="00400715">
        <w:rPr>
          <w:rFonts w:ascii="Lora" w:hAnsi="Lora"/>
          <w:sz w:val="22"/>
        </w:rPr>
        <w:t>targeted</w:t>
      </w:r>
      <w:r w:rsidR="00F13B35">
        <w:rPr>
          <w:rFonts w:ascii="Lora" w:hAnsi="Lora"/>
          <w:sz w:val="22"/>
        </w:rPr>
        <w:t xml:space="preserve"> metabarcoding assays </w:t>
      </w:r>
      <w:r w:rsidR="00400715">
        <w:rPr>
          <w:rFonts w:ascii="Lora" w:hAnsi="Lora"/>
          <w:sz w:val="22"/>
        </w:rPr>
        <w:t>for regulated organisms</w:t>
      </w:r>
      <w:r w:rsidR="00AE7310">
        <w:rPr>
          <w:rFonts w:ascii="Lora" w:hAnsi="Lora"/>
          <w:sz w:val="22"/>
        </w:rPr>
        <w:t xml:space="preserve">, using a diverse list of globally listed invasive and pest insects as our case study. </w:t>
      </w:r>
      <w:proofErr w:type="gramStart"/>
      <w:r w:rsidR="00400715">
        <w:rPr>
          <w:rFonts w:ascii="Lora" w:hAnsi="Lora"/>
          <w:sz w:val="22"/>
        </w:rPr>
        <w:t>Firstly</w:t>
      </w:r>
      <w:proofErr w:type="gramEnd"/>
      <w:r w:rsidR="00400715">
        <w:rPr>
          <w:rFonts w:ascii="Lora" w:hAnsi="Lora"/>
          <w:sz w:val="22"/>
        </w:rPr>
        <w:t xml:space="preserve"> we locate </w:t>
      </w:r>
      <w:r>
        <w:rPr>
          <w:rFonts w:ascii="Lora" w:hAnsi="Lora"/>
          <w:sz w:val="22"/>
        </w:rPr>
        <w:t>the optimal</w:t>
      </w:r>
      <w:r w:rsidR="00400715">
        <w:rPr>
          <w:rFonts w:ascii="Lora" w:hAnsi="Lora"/>
          <w:sz w:val="22"/>
        </w:rPr>
        <w:t xml:space="preserve"> diagnostic window within the target loci for</w:t>
      </w:r>
      <w:r>
        <w:rPr>
          <w:rFonts w:ascii="Lora" w:hAnsi="Lora"/>
          <w:sz w:val="22"/>
        </w:rPr>
        <w:t xml:space="preserve"> placement of mini primer</w:t>
      </w:r>
      <w:r w:rsidR="00400715">
        <w:rPr>
          <w:rFonts w:ascii="Lora" w:hAnsi="Lora"/>
          <w:sz w:val="22"/>
        </w:rPr>
        <w:t xml:space="preserve">s. </w:t>
      </w:r>
      <w:proofErr w:type="gramStart"/>
      <w:r w:rsidR="00400715">
        <w:rPr>
          <w:rFonts w:ascii="Lora" w:hAnsi="Lora"/>
          <w:sz w:val="22"/>
        </w:rPr>
        <w:t>Secondly</w:t>
      </w:r>
      <w:proofErr w:type="gramEnd"/>
      <w:r w:rsidR="00400715">
        <w:rPr>
          <w:rFonts w:ascii="Lora" w:hAnsi="Lora"/>
          <w:sz w:val="22"/>
        </w:rPr>
        <w:t xml:space="preserve"> we </w:t>
      </w:r>
      <w:r w:rsidR="00E65266">
        <w:rPr>
          <w:rFonts w:ascii="Lora" w:hAnsi="Lora"/>
          <w:sz w:val="22"/>
        </w:rPr>
        <w:t>evaluate the ability of mini primers to differentiate</w:t>
      </w:r>
      <w:r w:rsidR="00400715">
        <w:rPr>
          <w:rFonts w:ascii="Lora" w:hAnsi="Lora"/>
          <w:sz w:val="22"/>
        </w:rPr>
        <w:t xml:space="preserve"> a list of pe</w:t>
      </w:r>
      <w:r w:rsidR="00E65266">
        <w:rPr>
          <w:rFonts w:ascii="Lora" w:hAnsi="Lora"/>
          <w:sz w:val="22"/>
        </w:rPr>
        <w:t>st taxa from others in their group (sensitivity and specificity)</w:t>
      </w:r>
      <w:r w:rsidR="00400715">
        <w:rPr>
          <w:rFonts w:ascii="Lora" w:hAnsi="Lora"/>
          <w:sz w:val="22"/>
        </w:rPr>
        <w:t xml:space="preserve">. We then look at predicted mismatch and bias </w:t>
      </w:r>
      <w:r w:rsidR="00E65266">
        <w:rPr>
          <w:rFonts w:ascii="Lora" w:hAnsi="Lora"/>
          <w:sz w:val="22"/>
        </w:rPr>
        <w:t xml:space="preserve">for </w:t>
      </w:r>
      <w:r w:rsidR="00400715">
        <w:rPr>
          <w:rFonts w:ascii="Lora" w:hAnsi="Lora"/>
          <w:sz w:val="22"/>
        </w:rPr>
        <w:t>a list of</w:t>
      </w:r>
      <w:r w:rsidR="00E65266">
        <w:rPr>
          <w:rFonts w:ascii="Lora" w:hAnsi="Lora"/>
          <w:sz w:val="22"/>
        </w:rPr>
        <w:t xml:space="preserve"> pest</w:t>
      </w:r>
      <w:r w:rsidR="00400715">
        <w:rPr>
          <w:rFonts w:ascii="Lora" w:hAnsi="Lora"/>
          <w:sz w:val="22"/>
        </w:rPr>
        <w:t>s</w:t>
      </w:r>
      <w:r w:rsidR="00E65266">
        <w:rPr>
          <w:rFonts w:ascii="Lora" w:hAnsi="Lora"/>
          <w:sz w:val="22"/>
        </w:rPr>
        <w:t xml:space="preserve">. </w:t>
      </w:r>
      <w:proofErr w:type="gramStart"/>
      <w:r w:rsidR="00400715">
        <w:rPr>
          <w:rFonts w:ascii="Lora" w:hAnsi="Lora"/>
          <w:sz w:val="22"/>
        </w:rPr>
        <w:t>Finally</w:t>
      </w:r>
      <w:proofErr w:type="gramEnd"/>
      <w:r w:rsidR="00400715">
        <w:rPr>
          <w:rFonts w:ascii="Lora" w:hAnsi="Lora"/>
          <w:sz w:val="22"/>
        </w:rPr>
        <w:t xml:space="preserve"> we provide recommendations on primers to use for diagnostics of pest insect taxa, and provide </w:t>
      </w:r>
      <w:r w:rsidR="00E65266">
        <w:rPr>
          <w:rFonts w:ascii="Lora" w:hAnsi="Lora"/>
          <w:sz w:val="22"/>
        </w:rPr>
        <w:t xml:space="preserve">a </w:t>
      </w:r>
      <w:r w:rsidR="00400715">
        <w:rPr>
          <w:rFonts w:ascii="Lora" w:hAnsi="Lora"/>
          <w:sz w:val="22"/>
        </w:rPr>
        <w:t xml:space="preserve">comprehensive </w:t>
      </w:r>
      <w:r w:rsidR="00E65266">
        <w:rPr>
          <w:rFonts w:ascii="Lora" w:hAnsi="Lora"/>
          <w:sz w:val="22"/>
        </w:rPr>
        <w:t xml:space="preserve">list of </w:t>
      </w:r>
      <w:r w:rsidR="00400715">
        <w:rPr>
          <w:rFonts w:ascii="Lora" w:hAnsi="Lora"/>
          <w:sz w:val="22"/>
        </w:rPr>
        <w:t xml:space="preserve">pest </w:t>
      </w:r>
      <w:r w:rsidR="00E65266">
        <w:rPr>
          <w:rFonts w:ascii="Lora" w:hAnsi="Lora"/>
          <w:sz w:val="22"/>
        </w:rPr>
        <w:t xml:space="preserve">taxa </w:t>
      </w:r>
      <w:r w:rsidR="00400715">
        <w:rPr>
          <w:rFonts w:ascii="Lora" w:hAnsi="Lora"/>
          <w:sz w:val="22"/>
        </w:rPr>
        <w:t xml:space="preserve">for which a metabarcoding assay using these </w:t>
      </w:r>
      <w:proofErr w:type="spellStart"/>
      <w:r w:rsidR="00400715">
        <w:rPr>
          <w:rFonts w:ascii="Lora" w:hAnsi="Lora"/>
          <w:sz w:val="22"/>
        </w:rPr>
        <w:t>priemrs</w:t>
      </w:r>
      <w:proofErr w:type="spellEnd"/>
      <w:r w:rsidR="00400715">
        <w:rPr>
          <w:rFonts w:ascii="Lora" w:hAnsi="Lora"/>
          <w:sz w:val="22"/>
        </w:rPr>
        <w:t xml:space="preserve"> are likely to work and not. We believe t</w:t>
      </w:r>
      <w:r w:rsidR="008175D5">
        <w:rPr>
          <w:rFonts w:ascii="Lora" w:hAnsi="Lora"/>
          <w:sz w:val="22"/>
        </w:rPr>
        <w:t>hat the most rapid way to get this technology into the hands of diagnostics labs is to propose a protocol that is as universal as possible, then the user validates the assay on their target pest, we leave that to the user.</w:t>
      </w:r>
    </w:p>
    <w:p w14:paraId="16F42C30" w14:textId="0F2765F8" w:rsidR="003F55FB" w:rsidRPr="00884219" w:rsidRDefault="003F55FB" w:rsidP="00884219">
      <w:pPr>
        <w:spacing w:line="360" w:lineRule="auto"/>
        <w:rPr>
          <w:rFonts w:ascii="Lora" w:hAnsi="Lora"/>
          <w:sz w:val="22"/>
        </w:rPr>
      </w:pPr>
      <w:r w:rsidRPr="00E33E6A">
        <w:rPr>
          <w:rFonts w:ascii="Lora" w:hAnsi="Lora"/>
          <w:b/>
          <w:sz w:val="22"/>
        </w:rPr>
        <w:t>Methods</w:t>
      </w:r>
    </w:p>
    <w:p w14:paraId="7FB666B1" w14:textId="2BAF6989" w:rsidR="00A12B58" w:rsidRPr="00E33E6A" w:rsidRDefault="00A12B58" w:rsidP="0016608D">
      <w:pPr>
        <w:spacing w:line="360" w:lineRule="auto"/>
        <w:rPr>
          <w:rFonts w:ascii="Lora" w:hAnsi="Lora"/>
          <w:i/>
          <w:sz w:val="22"/>
        </w:rPr>
      </w:pPr>
      <w:r w:rsidRPr="00E33E6A">
        <w:rPr>
          <w:rFonts w:ascii="Lora" w:hAnsi="Lora"/>
          <w:i/>
          <w:sz w:val="22"/>
        </w:rPr>
        <w:t xml:space="preserve">Assembly of </w:t>
      </w:r>
      <w:r w:rsidR="008175D5">
        <w:rPr>
          <w:rFonts w:ascii="Lora" w:hAnsi="Lora"/>
          <w:i/>
          <w:sz w:val="22"/>
        </w:rPr>
        <w:t>global pest list</w:t>
      </w:r>
    </w:p>
    <w:p w14:paraId="0EF45FD4" w14:textId="204EFD76" w:rsidR="008175D5" w:rsidRDefault="004100D0" w:rsidP="00740751">
      <w:pPr>
        <w:spacing w:line="360" w:lineRule="auto"/>
        <w:rPr>
          <w:rFonts w:ascii="Lora" w:hAnsi="Lora"/>
          <w:sz w:val="22"/>
        </w:rPr>
      </w:pPr>
      <w:bookmarkStart w:id="4" w:name="_Hlk23517483"/>
      <w:r w:rsidRPr="00E33E6A">
        <w:rPr>
          <w:rFonts w:ascii="Lora" w:hAnsi="Lora"/>
          <w:sz w:val="22"/>
        </w:rPr>
        <w:t xml:space="preserve">To assemble a global list of insect pests, all records from </w:t>
      </w:r>
      <w:r w:rsidR="00392337">
        <w:rPr>
          <w:rFonts w:ascii="Lora" w:hAnsi="Lora"/>
          <w:sz w:val="22"/>
        </w:rPr>
        <w:t>a range of global</w:t>
      </w:r>
      <w:r w:rsidR="00A02AAA">
        <w:rPr>
          <w:rFonts w:ascii="Lora" w:hAnsi="Lora"/>
          <w:sz w:val="22"/>
        </w:rPr>
        <w:t xml:space="preserve"> invasive species datab</w:t>
      </w:r>
      <w:r w:rsidR="001D1C6C">
        <w:rPr>
          <w:rFonts w:ascii="Lora" w:hAnsi="Lora"/>
          <w:sz w:val="22"/>
        </w:rPr>
        <w:t>a</w:t>
      </w:r>
      <w:r w:rsidR="00A02AAA">
        <w:rPr>
          <w:rFonts w:ascii="Lora" w:hAnsi="Lora"/>
          <w:sz w:val="22"/>
        </w:rPr>
        <w:t>ses</w:t>
      </w:r>
      <w:r w:rsidR="00392337">
        <w:rPr>
          <w:rFonts w:ascii="Lora" w:hAnsi="Lora"/>
          <w:sz w:val="22"/>
        </w:rPr>
        <w:t xml:space="preserve"> (Supplementary S1)</w:t>
      </w:r>
      <w:r w:rsidRPr="00E33E6A">
        <w:rPr>
          <w:rFonts w:ascii="Lora" w:hAnsi="Lora"/>
          <w:sz w:val="22"/>
        </w:rPr>
        <w:t xml:space="preserve"> </w:t>
      </w:r>
      <w:bookmarkEnd w:id="4"/>
      <w:r w:rsidR="00A02AAA">
        <w:rPr>
          <w:rFonts w:ascii="Lora" w:hAnsi="Lora"/>
          <w:sz w:val="22"/>
        </w:rPr>
        <w:t>were retrieved and</w:t>
      </w:r>
      <w:r w:rsidRPr="00E33E6A">
        <w:rPr>
          <w:rFonts w:ascii="Lora" w:hAnsi="Lora"/>
          <w:sz w:val="22"/>
        </w:rPr>
        <w:t xml:space="preserve"> filtered to retain only those taxa with genus species binomials</w:t>
      </w:r>
      <w:r w:rsidR="00065A22" w:rsidRPr="00E33E6A">
        <w:rPr>
          <w:rFonts w:ascii="Lora" w:hAnsi="Lora"/>
          <w:sz w:val="22"/>
        </w:rPr>
        <w:t xml:space="preserve"> and remove </w:t>
      </w:r>
      <w:proofErr w:type="spellStart"/>
      <w:r w:rsidR="00065A22" w:rsidRPr="00E33E6A">
        <w:rPr>
          <w:rFonts w:ascii="Lora" w:hAnsi="Lora"/>
          <w:sz w:val="22"/>
        </w:rPr>
        <w:t>duplica</w:t>
      </w:r>
      <w:r w:rsidR="001C0F8C">
        <w:rPr>
          <w:rFonts w:ascii="Lora" w:hAnsi="Lora"/>
          <w:sz w:val="22"/>
        </w:rPr>
        <w:t>d</w:t>
      </w:r>
      <w:r w:rsidR="00065A22" w:rsidRPr="00E33E6A">
        <w:rPr>
          <w:rFonts w:ascii="Lora" w:hAnsi="Lora"/>
          <w:sz w:val="22"/>
        </w:rPr>
        <w:t>te</w:t>
      </w:r>
      <w:proofErr w:type="spellEnd"/>
      <w:r w:rsidR="00065A22" w:rsidRPr="00E33E6A">
        <w:rPr>
          <w:rFonts w:ascii="Lora" w:hAnsi="Lora"/>
          <w:sz w:val="22"/>
        </w:rPr>
        <w:t xml:space="preserve"> entries.  H</w:t>
      </w:r>
      <w:r w:rsidRPr="00E33E6A">
        <w:rPr>
          <w:rFonts w:ascii="Lora" w:hAnsi="Lora"/>
          <w:sz w:val="22"/>
        </w:rPr>
        <w:t>igher taxonomic levels</w:t>
      </w:r>
      <w:r w:rsidR="00065A22" w:rsidRPr="00E33E6A">
        <w:rPr>
          <w:rFonts w:ascii="Lora" w:hAnsi="Lora"/>
          <w:sz w:val="22"/>
        </w:rPr>
        <w:t xml:space="preserve"> for all species on the list</w:t>
      </w:r>
      <w:r w:rsidRPr="00E33E6A">
        <w:rPr>
          <w:rFonts w:ascii="Lora" w:hAnsi="Lora"/>
          <w:sz w:val="22"/>
        </w:rPr>
        <w:t xml:space="preserve"> were retrieved</w:t>
      </w:r>
      <w:r w:rsidR="00065A22" w:rsidRPr="00E33E6A">
        <w:rPr>
          <w:rFonts w:ascii="Lora" w:hAnsi="Lora"/>
          <w:sz w:val="22"/>
        </w:rPr>
        <w:t xml:space="preserve"> from the NCBI and GBIF reference taxonomies</w:t>
      </w:r>
      <w:r w:rsidRPr="00E33E6A">
        <w:rPr>
          <w:rFonts w:ascii="Lora" w:hAnsi="Lora"/>
          <w:sz w:val="22"/>
        </w:rPr>
        <w:t xml:space="preserve"> using the R package </w:t>
      </w:r>
      <w:proofErr w:type="spellStart"/>
      <w:r w:rsidRPr="00E33E6A">
        <w:rPr>
          <w:rFonts w:ascii="Lora" w:hAnsi="Lora"/>
          <w:sz w:val="22"/>
        </w:rPr>
        <w:t>taxize</w:t>
      </w:r>
      <w:proofErr w:type="spellEnd"/>
      <w:r w:rsidRPr="00E33E6A">
        <w:rPr>
          <w:rFonts w:ascii="Lora" w:hAnsi="Lora"/>
          <w:sz w:val="22"/>
        </w:rPr>
        <w:t xml:space="preserve"> </w:t>
      </w:r>
      <w:r w:rsidRPr="00E33E6A">
        <w:rPr>
          <w:rFonts w:ascii="Lora" w:hAnsi="Lora"/>
          <w:sz w:val="22"/>
        </w:rPr>
        <w:fldChar w:fldCharType="begin" w:fldLock="1"/>
      </w:r>
      <w:r w:rsidR="009D4087" w:rsidRPr="00E33E6A">
        <w:rPr>
          <w:rFonts w:ascii="Lora" w:hAnsi="Lora"/>
          <w:sz w:val="22"/>
        </w:rPr>
        <w:instrText>ADDIN CSL_CITATION {"citationItems":[{"id":"ITEM-1","itemData":{"DOI":"10.12688/f1000research.2-191.v2","ISSN":"2046-1402","abstract":"&lt;p&gt; All species are hierarchically related to one another, and we use taxonomic names to label the nodes in this hierarchy. Taxonomic data is becoming increasingly available on the web, but scientists need a way to access it in a programmatic fashion that’s easy and reproducible. We have developed taxize, an open-source software package (freely available from &lt;ext-link ext-link-type=\"uri\" href=\"http://cran.r-project.org/web/packages/taxize/index.html\"&gt;http://cran.r-project.org/web/packages/taxize/index.html&lt;/ext-link&gt; ) for the R language. taxize provides simple, programmatic access to taxonomic data for 13 data sources around the web. We discuss the need for a taxonomic toolbelt in R, and outline a suite of use cases for which taxize is ideally suited (including a full workflow as an appendix). The taxize package facilitates open and reproducible science by allowing taxonomic data collection to be done in the open-source R platform. &lt;/p&gt;","author":[{"dropping-particle":"","family":"Chamberlain","given":"Scott A.","non-dropping-particle":"","parse-names":false,"suffix":""},{"dropping-particle":"","family":"Szöcs","given":"Eduard","non-dropping-particle":"","parse-names":false,"suffix":""}],"container-title":"F1000Research","id":"ITEM-1","issued":{"date-parts":[["2013"]]},"page":"191","title":"taxize: taxonomic search and retrieval in R","type":"article-journal","volume":"2"},"uris":["http://www.mendeley.com/documents/?uuid=55f4f6d8-a7ac-4d0d-a530-6903341166f9"]}],"mendeley":{"formattedCitation":"(S. A. Chamberlain &amp; Szöcs, 2013)","plainTextFormattedCitation":"(S. A. Chamberlain &amp; Szöcs, 2013)","previouslyFormattedCitation":"(S. A. Chamberlain &amp; Szöcs, 2013)"},"properties":{"noteIndex":0},"schema":"https://github.com/citation-style-language/schema/raw/master/csl-citation.json"}</w:instrText>
      </w:r>
      <w:r w:rsidRPr="00E33E6A">
        <w:rPr>
          <w:rFonts w:ascii="Lora" w:hAnsi="Lora"/>
          <w:sz w:val="22"/>
        </w:rPr>
        <w:fldChar w:fldCharType="separate"/>
      </w:r>
      <w:r w:rsidRPr="00E33E6A">
        <w:rPr>
          <w:rFonts w:ascii="Lora" w:hAnsi="Lora"/>
          <w:noProof/>
          <w:sz w:val="22"/>
        </w:rPr>
        <w:t>(S. A. Chamberlain &amp; Szöcs, 2013)</w:t>
      </w:r>
      <w:r w:rsidRPr="00E33E6A">
        <w:rPr>
          <w:rFonts w:ascii="Lora" w:hAnsi="Lora"/>
          <w:sz w:val="22"/>
        </w:rPr>
        <w:fldChar w:fldCharType="end"/>
      </w:r>
      <w:r w:rsidR="00065A22" w:rsidRPr="00E33E6A">
        <w:rPr>
          <w:rFonts w:ascii="Lora" w:hAnsi="Lora"/>
          <w:sz w:val="22"/>
        </w:rPr>
        <w:t xml:space="preserve">, and any taxa from outside the class </w:t>
      </w:r>
      <w:proofErr w:type="spellStart"/>
      <w:r w:rsidR="00065A22" w:rsidRPr="00E33E6A">
        <w:rPr>
          <w:rFonts w:ascii="Lora" w:hAnsi="Lora"/>
          <w:sz w:val="22"/>
        </w:rPr>
        <w:t>Insecta</w:t>
      </w:r>
      <w:proofErr w:type="spellEnd"/>
      <w:r w:rsidR="00065A22" w:rsidRPr="00E33E6A">
        <w:rPr>
          <w:rFonts w:ascii="Lora" w:hAnsi="Lora"/>
          <w:sz w:val="22"/>
        </w:rPr>
        <w:t xml:space="preserve"> were removed</w:t>
      </w:r>
      <w:r w:rsidRPr="00E33E6A">
        <w:rPr>
          <w:rFonts w:ascii="Lora" w:hAnsi="Lora"/>
          <w:sz w:val="22"/>
        </w:rPr>
        <w:t>.</w:t>
      </w:r>
      <w:r w:rsidR="00065A22" w:rsidRPr="00E33E6A">
        <w:rPr>
          <w:rFonts w:ascii="Lora" w:hAnsi="Lora"/>
          <w:sz w:val="22"/>
        </w:rPr>
        <w:t xml:space="preserve"> </w:t>
      </w:r>
      <w:r w:rsidRPr="00E33E6A">
        <w:rPr>
          <w:rFonts w:ascii="Lora" w:hAnsi="Lora"/>
          <w:sz w:val="22"/>
        </w:rPr>
        <w:t xml:space="preserve"> </w:t>
      </w:r>
    </w:p>
    <w:p w14:paraId="3CA44515" w14:textId="667E5C9B" w:rsidR="008175D5" w:rsidRPr="008175D5" w:rsidRDefault="008175D5" w:rsidP="00740751">
      <w:pPr>
        <w:spacing w:line="360" w:lineRule="auto"/>
        <w:rPr>
          <w:rFonts w:ascii="Lora" w:hAnsi="Lora"/>
          <w:i/>
          <w:iCs/>
          <w:sz w:val="22"/>
        </w:rPr>
      </w:pPr>
      <w:r w:rsidRPr="008175D5">
        <w:rPr>
          <w:rFonts w:ascii="Lora" w:hAnsi="Lora"/>
          <w:i/>
          <w:iCs/>
          <w:sz w:val="22"/>
        </w:rPr>
        <w:t xml:space="preserve">Retrieval </w:t>
      </w:r>
      <w:r>
        <w:rPr>
          <w:rFonts w:ascii="Lora" w:hAnsi="Lora"/>
          <w:i/>
          <w:iCs/>
          <w:sz w:val="22"/>
        </w:rPr>
        <w:t>and curation of</w:t>
      </w:r>
      <w:r w:rsidRPr="008175D5">
        <w:rPr>
          <w:rFonts w:ascii="Lora" w:hAnsi="Lora"/>
          <w:i/>
          <w:iCs/>
          <w:sz w:val="22"/>
        </w:rPr>
        <w:t xml:space="preserve"> public reference data</w:t>
      </w:r>
    </w:p>
    <w:p w14:paraId="78159386" w14:textId="0570A4DE" w:rsidR="0016608D" w:rsidRPr="00E33E6A" w:rsidRDefault="00A12B58" w:rsidP="00305E77">
      <w:pPr>
        <w:spacing w:line="360" w:lineRule="auto"/>
        <w:rPr>
          <w:rFonts w:ascii="Lora" w:hAnsi="Lora"/>
          <w:sz w:val="22"/>
        </w:rPr>
      </w:pPr>
      <w:r w:rsidRPr="00E33E6A">
        <w:rPr>
          <w:rFonts w:ascii="Lora" w:hAnsi="Lora"/>
          <w:sz w:val="22"/>
        </w:rPr>
        <w:t xml:space="preserve">All COI records </w:t>
      </w:r>
      <w:r w:rsidR="00065A22" w:rsidRPr="00E33E6A">
        <w:rPr>
          <w:rFonts w:ascii="Lora" w:hAnsi="Lora"/>
          <w:sz w:val="22"/>
        </w:rPr>
        <w:t xml:space="preserve">were retrieved from BOLD  and GenBank for the unique </w:t>
      </w:r>
      <w:r w:rsidRPr="00E33E6A">
        <w:rPr>
          <w:rFonts w:ascii="Lora" w:hAnsi="Lora"/>
          <w:sz w:val="22"/>
        </w:rPr>
        <w:t xml:space="preserve">pest families </w:t>
      </w:r>
      <w:r w:rsidR="00065A22" w:rsidRPr="00E33E6A">
        <w:rPr>
          <w:rFonts w:ascii="Lora" w:hAnsi="Lora"/>
          <w:sz w:val="22"/>
        </w:rPr>
        <w:t>present on this list u</w:t>
      </w:r>
      <w:r w:rsidRPr="00E33E6A">
        <w:rPr>
          <w:rFonts w:ascii="Lora" w:hAnsi="Lora"/>
          <w:sz w:val="22"/>
        </w:rPr>
        <w:t xml:space="preserve">sing the bold </w:t>
      </w:r>
      <w:r w:rsidRPr="00E33E6A">
        <w:rPr>
          <w:rFonts w:ascii="Lora" w:hAnsi="Lora"/>
          <w:sz w:val="22"/>
        </w:rPr>
        <w:fldChar w:fldCharType="begin" w:fldLock="1"/>
      </w:r>
      <w:r w:rsidR="009D4087" w:rsidRPr="00E33E6A">
        <w:rPr>
          <w:rFonts w:ascii="Lora" w:hAnsi="Lora"/>
          <w:sz w:val="22"/>
        </w:rPr>
        <w:instrText>ADDIN CSL_CITATION {"citationItems":[{"id":"ITEM-1","itemData":{"author":[{"dropping-particle":"","family":"Chamberlain","given":"Scott","non-dropping-particle":"","parse-names":false,"suffix":""}],"id":"ITEM-1","issued":{"date-parts":[["2017"]]},"note":"R package version 0.5.0","title":"bold: Interface to Bold Systems API","type":"article"},"uris":["http://www.mendeley.com/documents/?uuid=c1238cce-eb0d-45d2-8286-3e452c778fde","http://www.mendeley.com/documents/?uuid=539bbbc5-ec36-4c40-879c-cc282e75e49f"]}],"mendeley":{"formattedCitation":"(S. Chamberlain, 2017)","plainTextFormattedCitation":"(S. Chamberlain, 2017)","previouslyFormattedCitation":"(S. Chamberlain, 2017)"},"properties":{"noteIndex":0},"schema":"https://github.com/citation-style-language/schema/raw/master/csl-citation.json"}</w:instrText>
      </w:r>
      <w:r w:rsidRPr="00E33E6A">
        <w:rPr>
          <w:rFonts w:ascii="Lora" w:hAnsi="Lora"/>
          <w:sz w:val="22"/>
        </w:rPr>
        <w:fldChar w:fldCharType="separate"/>
      </w:r>
      <w:r w:rsidR="004100D0" w:rsidRPr="00E33E6A">
        <w:rPr>
          <w:rFonts w:ascii="Lora" w:hAnsi="Lora"/>
          <w:noProof/>
          <w:sz w:val="22"/>
        </w:rPr>
        <w:t>(S. Chamberlain, 2017)</w:t>
      </w:r>
      <w:r w:rsidRPr="00E33E6A">
        <w:rPr>
          <w:rFonts w:ascii="Lora" w:hAnsi="Lora"/>
          <w:sz w:val="22"/>
        </w:rPr>
        <w:fldChar w:fldCharType="end"/>
      </w:r>
      <w:r w:rsidRPr="00E33E6A">
        <w:rPr>
          <w:rFonts w:ascii="Lora" w:hAnsi="Lora"/>
          <w:sz w:val="22"/>
        </w:rPr>
        <w:t xml:space="preserve"> and </w:t>
      </w:r>
      <w:proofErr w:type="spellStart"/>
      <w:r w:rsidRPr="00E33E6A">
        <w:rPr>
          <w:rFonts w:ascii="Lora" w:hAnsi="Lora"/>
          <w:sz w:val="22"/>
        </w:rPr>
        <w:t>Rentrez</w:t>
      </w:r>
      <w:proofErr w:type="spellEnd"/>
      <w:r w:rsidRPr="00E33E6A">
        <w:rPr>
          <w:rFonts w:ascii="Lora" w:hAnsi="Lora"/>
          <w:sz w:val="22"/>
        </w:rPr>
        <w:t xml:space="preserve"> </w:t>
      </w:r>
      <w:r w:rsidRPr="00E33E6A">
        <w:rPr>
          <w:rFonts w:ascii="Lora" w:hAnsi="Lora"/>
          <w:sz w:val="22"/>
        </w:rPr>
        <w:fldChar w:fldCharType="begin" w:fldLock="1"/>
      </w:r>
      <w:r w:rsidR="004100D0" w:rsidRPr="00E33E6A">
        <w:rPr>
          <w:rFonts w:ascii="Lora" w:hAnsi="Lora"/>
          <w:sz w:val="22"/>
        </w:rPr>
        <w:instrText>ADDIN CSL_CITATION {"citationItems":[{"id":"ITEM-1","itemData":{"DOI":"10.32614/rj-2017-058","ISSN":"2167-9843","abstract":"The USA National Center for Biotechnology Information (NCBI) is one of the world’s most important sources of biological information. NCBI databases like PubMed and GenBank contain mil lions of records describing bibliographic, genetic, genomic, and medical data. Here I present rentrez, a package which provides an R interface to 50 NCBI databases. The package is well-documented, contains an extensive suite of unit tests and has an active user base. The programmatic interface to the NCBI provided by rentrez allows researchers to query databases and download or import particular records into R sessions for subsequent analysis. The complete nature of the package, its extensive test-suite and the fact the package implements the NCBI’s usage policies all make rentrez a powerful aid to developers of new packages that perform more specific tasks.","author":[{"dropping-particle":"","family":"Winter, David","given":"J.","non-dropping-particle":"","parse-names":false,"suffix":""}],"container-title":"The R Journal","id":"ITEM-1","issue":"2","issued":{"date-parts":[["2019"]]},"page":"520","title":"rentrez: An R package for the NCBI eUtils API","type":"article-journal","volume":"9"},"uris":["http://www.mendeley.com/documents/?uuid=807ec2ce-9a44-4606-914c-c506c8e1a5f8"]}],"mendeley":{"formattedCitation":"(Winter, David, 2019)","plainTextFormattedCitation":"(Winter, David, 2019)","previouslyFormattedCitation":"(Winter, David, 2019)"},"properties":{"noteIndex":0},"schema":"https://github.com/citation-style-language/schema/raw/master/csl-citation.json"}</w:instrText>
      </w:r>
      <w:r w:rsidRPr="00E33E6A">
        <w:rPr>
          <w:rFonts w:ascii="Lora" w:hAnsi="Lora"/>
          <w:sz w:val="22"/>
        </w:rPr>
        <w:fldChar w:fldCharType="separate"/>
      </w:r>
      <w:r w:rsidR="004100D0" w:rsidRPr="00E33E6A">
        <w:rPr>
          <w:rFonts w:ascii="Lora" w:hAnsi="Lora"/>
          <w:noProof/>
          <w:sz w:val="22"/>
        </w:rPr>
        <w:t>(Winter, David, 2019)</w:t>
      </w:r>
      <w:r w:rsidRPr="00E33E6A">
        <w:rPr>
          <w:rFonts w:ascii="Lora" w:hAnsi="Lora"/>
          <w:sz w:val="22"/>
        </w:rPr>
        <w:fldChar w:fldCharType="end"/>
      </w:r>
      <w:r w:rsidRPr="00E33E6A">
        <w:rPr>
          <w:rFonts w:ascii="Lora" w:hAnsi="Lora"/>
          <w:sz w:val="22"/>
        </w:rPr>
        <w:t xml:space="preserve"> packages</w:t>
      </w:r>
      <w:r w:rsidR="00065A22" w:rsidRPr="00E33E6A">
        <w:rPr>
          <w:rFonts w:ascii="Lora" w:hAnsi="Lora"/>
          <w:sz w:val="22"/>
        </w:rPr>
        <w:t xml:space="preserve"> respectively</w:t>
      </w:r>
      <w:r w:rsidR="009D4087" w:rsidRPr="00E33E6A">
        <w:rPr>
          <w:rFonts w:ascii="Lora" w:hAnsi="Lora"/>
          <w:sz w:val="22"/>
        </w:rPr>
        <w:t xml:space="preserve">. </w:t>
      </w:r>
      <w:r w:rsidR="0085777C">
        <w:rPr>
          <w:rFonts w:ascii="Lora" w:hAnsi="Lora"/>
          <w:sz w:val="22"/>
        </w:rPr>
        <w:t xml:space="preserve">In addition, all mitochondrial genomes were downloaded. </w:t>
      </w:r>
      <w:r w:rsidR="009D4087" w:rsidRPr="00E33E6A">
        <w:rPr>
          <w:rFonts w:ascii="Lora" w:hAnsi="Lora"/>
          <w:sz w:val="22"/>
        </w:rPr>
        <w:t xml:space="preserve">Following download </w:t>
      </w:r>
      <w:r w:rsidR="00065A22" w:rsidRPr="00E33E6A">
        <w:rPr>
          <w:rFonts w:ascii="Lora" w:hAnsi="Lora"/>
          <w:sz w:val="22"/>
        </w:rPr>
        <w:t>all sequences with duplicated accession numbers were removed</w:t>
      </w:r>
      <w:r w:rsidR="009D4087" w:rsidRPr="00E33E6A">
        <w:rPr>
          <w:rFonts w:ascii="Lora" w:hAnsi="Lora"/>
          <w:sz w:val="22"/>
        </w:rPr>
        <w:t xml:space="preserve"> and sequences went through a series of filtering stages.</w:t>
      </w:r>
      <w:r w:rsidR="00740751">
        <w:rPr>
          <w:rFonts w:ascii="Lora" w:hAnsi="Lora"/>
          <w:sz w:val="22"/>
        </w:rPr>
        <w:t xml:space="preserve"> Firstly,</w:t>
      </w:r>
      <w:r w:rsidR="00305E77" w:rsidRPr="00305E77">
        <w:rPr>
          <w:rFonts w:ascii="Lora" w:hAnsi="Lora"/>
          <w:sz w:val="22"/>
        </w:rPr>
        <w:t xml:space="preserve"> </w:t>
      </w:r>
      <w:r w:rsidR="00305E77">
        <w:rPr>
          <w:rFonts w:ascii="Lora" w:hAnsi="Lora"/>
          <w:sz w:val="22"/>
        </w:rPr>
        <w:t xml:space="preserve">in order  to remove </w:t>
      </w:r>
      <w:r w:rsidR="00305E77" w:rsidRPr="00E33E6A">
        <w:rPr>
          <w:rFonts w:ascii="Lora" w:hAnsi="Lora"/>
          <w:sz w:val="22"/>
        </w:rPr>
        <w:t xml:space="preserve">non-homologous sequences </w:t>
      </w:r>
      <w:r w:rsidR="00305E77">
        <w:rPr>
          <w:rFonts w:ascii="Lora" w:hAnsi="Lora"/>
          <w:sz w:val="22"/>
        </w:rPr>
        <w:t xml:space="preserve">and extract the COI locus from mitogenomes all sequences were aligned to a profile hidden </w:t>
      </w:r>
      <w:proofErr w:type="spellStart"/>
      <w:r w:rsidR="00305E77">
        <w:rPr>
          <w:rFonts w:ascii="Lora" w:hAnsi="Lora"/>
          <w:sz w:val="22"/>
        </w:rPr>
        <w:t>markov</w:t>
      </w:r>
      <w:proofErr w:type="spellEnd"/>
      <w:r w:rsidR="00305E77">
        <w:rPr>
          <w:rFonts w:ascii="Lora" w:hAnsi="Lora"/>
          <w:sz w:val="22"/>
        </w:rPr>
        <w:t xml:space="preserve"> model </w:t>
      </w:r>
      <w:r w:rsidR="00305E77" w:rsidRPr="00E33E6A">
        <w:rPr>
          <w:rFonts w:ascii="Lora" w:hAnsi="Lora"/>
          <w:sz w:val="22"/>
        </w:rPr>
        <w:t xml:space="preserve">(PHMM) </w:t>
      </w:r>
      <w:r w:rsidR="00305E77" w:rsidRPr="00E33E6A">
        <w:rPr>
          <w:rFonts w:ascii="Lora" w:hAnsi="Lora"/>
          <w:sz w:val="22"/>
        </w:rPr>
        <w:fldChar w:fldCharType="begin" w:fldLock="1"/>
      </w:r>
      <w:r w:rsidR="00305E77" w:rsidRPr="00E33E6A">
        <w:rPr>
          <w:rFonts w:ascii="Lora" w:hAnsi="Lora"/>
          <w:sz w:val="22"/>
        </w:rPr>
        <w:instrText>ADDIN CSL_CITATION {"citationItems":[{"id":"ITEM-1","itemData":{"DOI":"10.1093/bioinformatics/14.9.755","ISSN":"13674803","abstract":"The recent literature on profile hidden Markov model (profile HMM) methods and software is reviewed. Profile HMMs turn a multiple sequence alignment into a position-specific scoring system suitable for searching databases for remotely homologous sequences. Profile HMM analyses complement standard pairwise comparison methods for large-scale sequence analysis. Several software implementations and two large libraries of profile HMMs of common protein domains are available. HMM methods performed comparably to threading methods in the CASP2 structure prediction exercise.","author":[{"dropping-particle":"","family":"Eddy","given":"Sean R.","non-dropping-particle":"","parse-names":false,"suffix":""}],"container-title":"Bioinformatics","id":"ITEM-1","issued":{"date-parts":[["1998"]]},"title":"Profile hidden Markov models","type":"article"},"uris":["http://www.mendeley.com/documents/?uuid=2934fed3-60d4-4510-b605-9b9494121727"]}],"mendeley":{"formattedCitation":"(Eddy, 1998)","plainTextFormattedCitation":"(Eddy, 1998)","previouslyFormattedCitation":"(Eddy, 1998)"},"properties":{"noteIndex":0},"schema":"https://github.com/citation-style-language/schema/raw/master/csl-citation.json"}</w:instrText>
      </w:r>
      <w:r w:rsidR="00305E77" w:rsidRPr="00E33E6A">
        <w:rPr>
          <w:rFonts w:ascii="Lora" w:hAnsi="Lora"/>
          <w:sz w:val="22"/>
        </w:rPr>
        <w:fldChar w:fldCharType="separate"/>
      </w:r>
      <w:r w:rsidR="00305E77" w:rsidRPr="00E33E6A">
        <w:rPr>
          <w:rFonts w:ascii="Lora" w:hAnsi="Lora"/>
          <w:noProof/>
          <w:sz w:val="22"/>
        </w:rPr>
        <w:t>(Eddy, 1998)</w:t>
      </w:r>
      <w:r w:rsidR="00305E77" w:rsidRPr="00E33E6A">
        <w:rPr>
          <w:rFonts w:ascii="Lora" w:hAnsi="Lora"/>
          <w:sz w:val="22"/>
        </w:rPr>
        <w:fldChar w:fldCharType="end"/>
      </w:r>
      <w:r w:rsidR="00305E77">
        <w:rPr>
          <w:rFonts w:ascii="Lora" w:hAnsi="Lora"/>
          <w:sz w:val="22"/>
        </w:rPr>
        <w:t xml:space="preserve"> of the COI locus using the </w:t>
      </w:r>
      <w:proofErr w:type="spellStart"/>
      <w:r w:rsidR="00305E77">
        <w:rPr>
          <w:rFonts w:ascii="Lora" w:hAnsi="Lora"/>
          <w:sz w:val="22"/>
        </w:rPr>
        <w:t>viterbi</w:t>
      </w:r>
      <w:proofErr w:type="spellEnd"/>
      <w:r w:rsidR="00305E77">
        <w:rPr>
          <w:rFonts w:ascii="Lora" w:hAnsi="Lora"/>
          <w:sz w:val="22"/>
        </w:rPr>
        <w:t xml:space="preserve"> </w:t>
      </w:r>
      <w:r w:rsidR="00305E77" w:rsidRPr="00E33E6A">
        <w:rPr>
          <w:rFonts w:ascii="Lora" w:hAnsi="Lora"/>
          <w:sz w:val="22"/>
        </w:rPr>
        <w:t xml:space="preserve">algorithm </w:t>
      </w:r>
      <w:r w:rsidR="00305E77" w:rsidRPr="00E33E6A">
        <w:rPr>
          <w:rFonts w:ascii="Lora" w:hAnsi="Lora"/>
          <w:sz w:val="22"/>
        </w:rPr>
        <w:fldChar w:fldCharType="begin" w:fldLock="1"/>
      </w:r>
      <w:r w:rsidR="00305E77" w:rsidRPr="00E33E6A">
        <w:rPr>
          <w:rFonts w:ascii="Lora" w:hAnsi="Lora"/>
          <w:sz w:val="22"/>
        </w:rPr>
        <w:instrText>ADDIN CSL_CITATION {"citationItems":[{"id":"ITEM-1","itemData":{"DOI":"10.1089/cmb.1998.5.493","ISSN":"1066-5277","abstract":"Algorithms for generating alignments of biological sequences have inherent statistical limitations when it comes to the accuracy of the alignments they produce. Using simulations, we measure the accuracy of the standard global dynamic programming method and show that it can be reasonably well modelled by an \"edge wander\" approximation to the distribution of the optimal scoring path around the correct path in the vicinity of a gap. We also give a table from which accuracy values can be predicted for commonly used scoring schemes and sequence divergences (the PAM and BLOSUM series). Finally we describe how to calculate the expected accuracy of a given alignment, and show how this can be used to construct an optimal accuracy alignment algorithm which generates significantly more accurate alignments than standard dynamic programming methods in simulated experiments.","author":[{"dropping-particle":"","family":"HOLMES","given":"IAN","non-dropping-particle":"","parse-names":false,"suffix":""},{"dropping-particle":"","family":"DURBIN","given":"RICHARD","non-dropping-particle":"","parse-names":false,"suffix":""}],"container-title":"Journal of Computational Biology","id":"ITEM-1","issued":{"date-parts":[["2009"]]},"title":"Dynamic Programming Alignment Accuracy","type":"article-journal"},"uris":["http://www.mendeley.com/documents/?uuid=c34fcae7-2369-4f88-9e28-c70ffe6a6c00"]}],"mendeley":{"formattedCitation":"(HOLMES &amp; DURBIN, 2009)","plainTextFormattedCitation":"(HOLMES &amp; DURBIN, 2009)","previouslyFormattedCitation":"(HOLMES &amp; DURBIN, 2009)"},"properties":{"noteIndex":0},"schema":"https://github.com/citation-style-language/schema/raw/master/csl-citation.json"}</w:instrText>
      </w:r>
      <w:r w:rsidR="00305E77" w:rsidRPr="00E33E6A">
        <w:rPr>
          <w:rFonts w:ascii="Lora" w:hAnsi="Lora"/>
          <w:sz w:val="22"/>
        </w:rPr>
        <w:fldChar w:fldCharType="separate"/>
      </w:r>
      <w:r w:rsidR="00305E77" w:rsidRPr="00E33E6A">
        <w:rPr>
          <w:rFonts w:ascii="Lora" w:hAnsi="Lora"/>
          <w:noProof/>
          <w:sz w:val="22"/>
        </w:rPr>
        <w:t>(HOLMES &amp; DURBIN, 2009)</w:t>
      </w:r>
      <w:r w:rsidR="00305E77" w:rsidRPr="00E33E6A">
        <w:rPr>
          <w:rFonts w:ascii="Lora" w:hAnsi="Lora"/>
          <w:sz w:val="22"/>
        </w:rPr>
        <w:fldChar w:fldCharType="end"/>
      </w:r>
      <w:r w:rsidR="00305E77">
        <w:rPr>
          <w:rFonts w:ascii="Lora" w:hAnsi="Lora"/>
          <w:sz w:val="22"/>
        </w:rPr>
        <w:t>, an</w:t>
      </w:r>
      <w:r w:rsidR="00305E77" w:rsidRPr="00E33E6A">
        <w:rPr>
          <w:rFonts w:ascii="Lora" w:hAnsi="Lora"/>
          <w:sz w:val="22"/>
        </w:rPr>
        <w:t>d only</w:t>
      </w:r>
      <w:r w:rsidR="00305E77">
        <w:rPr>
          <w:rFonts w:ascii="Lora" w:hAnsi="Lora"/>
          <w:sz w:val="22"/>
        </w:rPr>
        <w:t xml:space="preserve"> sequences</w:t>
      </w:r>
      <w:r w:rsidR="00305E77" w:rsidRPr="00E33E6A">
        <w:rPr>
          <w:rFonts w:ascii="Lora" w:hAnsi="Lora"/>
          <w:sz w:val="22"/>
        </w:rPr>
        <w:t xml:space="preserve"> aligning with a score of over </w:t>
      </w:r>
      <w:r w:rsidR="00305E77" w:rsidRPr="00E33E6A">
        <w:rPr>
          <w:rFonts w:ascii="Lora" w:hAnsi="Lora"/>
          <w:sz w:val="22"/>
          <w:highlight w:val="yellow"/>
        </w:rPr>
        <w:t>500</w:t>
      </w:r>
      <w:r w:rsidR="00305E77" w:rsidRPr="00E33E6A">
        <w:rPr>
          <w:rFonts w:ascii="Lora" w:hAnsi="Lora"/>
          <w:sz w:val="22"/>
        </w:rPr>
        <w:t xml:space="preserve"> were retained</w:t>
      </w:r>
      <w:r w:rsidR="00305E77">
        <w:rPr>
          <w:rFonts w:ascii="Lora" w:hAnsi="Lora"/>
          <w:sz w:val="22"/>
        </w:rPr>
        <w:t>. This PHMM was</w:t>
      </w:r>
      <w:r w:rsidR="009D4087" w:rsidRPr="00E33E6A">
        <w:rPr>
          <w:rFonts w:ascii="Lora" w:hAnsi="Lora"/>
          <w:sz w:val="22"/>
        </w:rPr>
        <w:t xml:space="preserve"> </w:t>
      </w:r>
      <w:r w:rsidR="00740751">
        <w:rPr>
          <w:rFonts w:ascii="Lora" w:hAnsi="Lora"/>
          <w:sz w:val="22"/>
        </w:rPr>
        <w:t xml:space="preserve">generated using a manually curated version of the </w:t>
      </w:r>
      <w:r w:rsidR="00740751" w:rsidRPr="00E33E6A">
        <w:rPr>
          <w:rFonts w:ascii="Lora" w:hAnsi="Lora"/>
          <w:sz w:val="22"/>
        </w:rPr>
        <w:t xml:space="preserve">Midori-unique </w:t>
      </w:r>
      <w:r w:rsidR="00740751" w:rsidRPr="00E33E6A">
        <w:rPr>
          <w:rFonts w:ascii="Lora" w:hAnsi="Lora"/>
          <w:sz w:val="22"/>
        </w:rPr>
        <w:fldChar w:fldCharType="begin" w:fldLock="1"/>
      </w:r>
      <w:r w:rsidR="00740751" w:rsidRPr="00E33E6A">
        <w:rPr>
          <w:rFonts w:ascii="Lora" w:hAnsi="Lora"/>
          <w:sz w:val="22"/>
        </w:rPr>
        <w:instrText>ADDIN CSL_CITATION {"citationItems":[{"id":"ITEM-1","itemData":{"DOI":"10.1038/sdata.2017.27","ISBN":"2052-4463","ISSN":"20524463","PMID":"28291235","abstract":"Mitochondrial-encoded genes are increasingly targeted in studies using high-throughput sequencing approaches for characterizing metazoan communities from environmental samples (e.g., plankton, meiofauna, filtered water).","author":[{"dropping-particle":"","family":"Machida","given":"Ryuji J.","non-dropping-particle":"","parse-names":false,"suffix":""},{"dropping-particle":"","family":"Leray","given":"Matthieu","non-dropping-particle":"","parse-names":false,"suffix":""},{"dropping-particle":"","family":"Ho","given":"Shian Lei","non-dropping-particle":"","parse-names":false,"suffix":""},{"dropping-particle":"","family":"Knowlton","given":"Nancy","non-dropping-particle":"","parse-names":false,"suffix":""}],"container-title":"Scientific Data","id":"ITEM-1","issued":{"date-parts":[["2017"]]},"page":"170027","title":"Data Descriptor: Metazoan mitochondrial gene sequence reference datasets for taxonomic assignment of environmental samples","type":"article-journal","volume":"4"},"uris":["http://www.mendeley.com/documents/?uuid=cec185dd-7f98-4df3-8bc3-289608845481"]}],"mendeley":{"formattedCitation":"(Machida, Leray, Ho, &amp; Knowlton, 2017)","plainTextFormattedCitation":"(Machida, Leray, Ho, &amp; Knowlton, 2017)","previouslyFormattedCitation":"(Machida, Leray, Ho, &amp; Knowlton, 2017)"},"properties":{"noteIndex":0},"schema":"https://github.com/citation-style-language/schema/raw/master/csl-citation.json"}</w:instrText>
      </w:r>
      <w:r w:rsidR="00740751" w:rsidRPr="00E33E6A">
        <w:rPr>
          <w:rFonts w:ascii="Lora" w:hAnsi="Lora"/>
          <w:sz w:val="22"/>
        </w:rPr>
        <w:fldChar w:fldCharType="separate"/>
      </w:r>
      <w:r w:rsidR="00740751" w:rsidRPr="00E33E6A">
        <w:rPr>
          <w:rFonts w:ascii="Lora" w:hAnsi="Lora"/>
          <w:noProof/>
          <w:sz w:val="22"/>
        </w:rPr>
        <w:t>(Machida, Leray, Ho, &amp; Knowlton, 2017)</w:t>
      </w:r>
      <w:r w:rsidR="00740751" w:rsidRPr="00E33E6A">
        <w:rPr>
          <w:rFonts w:ascii="Lora" w:hAnsi="Lora"/>
          <w:sz w:val="22"/>
        </w:rPr>
        <w:fldChar w:fldCharType="end"/>
      </w:r>
      <w:r w:rsidR="00740751" w:rsidRPr="00E33E6A">
        <w:rPr>
          <w:rFonts w:ascii="Lora" w:hAnsi="Lora"/>
          <w:sz w:val="22"/>
        </w:rPr>
        <w:t xml:space="preserve"> dataset </w:t>
      </w:r>
      <w:r w:rsidR="00305E77">
        <w:rPr>
          <w:rFonts w:ascii="Lora" w:hAnsi="Lora"/>
          <w:sz w:val="22"/>
        </w:rPr>
        <w:lastRenderedPageBreak/>
        <w:t>and the</w:t>
      </w:r>
      <w:r w:rsidR="00740751" w:rsidRPr="00740751">
        <w:rPr>
          <w:rFonts w:ascii="Lora" w:hAnsi="Lora"/>
          <w:sz w:val="22"/>
        </w:rPr>
        <w:t xml:space="preserve"> </w:t>
      </w:r>
      <w:r w:rsidR="00740751" w:rsidRPr="00E33E6A">
        <w:rPr>
          <w:rFonts w:ascii="Lora" w:hAnsi="Lora"/>
          <w:sz w:val="22"/>
        </w:rPr>
        <w:t xml:space="preserve">aphid R package </w:t>
      </w:r>
      <w:r w:rsidR="00740751" w:rsidRPr="00E33E6A">
        <w:rPr>
          <w:rFonts w:ascii="Lora" w:hAnsi="Lora"/>
          <w:sz w:val="22"/>
        </w:rPr>
        <w:fldChar w:fldCharType="begin" w:fldLock="1"/>
      </w:r>
      <w:r w:rsidR="00740751" w:rsidRPr="00E33E6A">
        <w:rPr>
          <w:rFonts w:ascii="Lora" w:hAnsi="Lora"/>
          <w:sz w:val="22"/>
        </w:rPr>
        <w:instrText>ADDIN CSL_CITATION {"citationItems":[{"id":"ITEM-1","itemData":{"DOI":"10.1093/bioinformatics/btz159","author":[{"dropping-particle":"","family":"Wilkinson","given":"Shaun","non-dropping-particle":"","parse-names":false,"suffix":""}],"container-title":"Bioinformatics","id":"ITEM-1","issued":{"date-parts":[["2019"]]},"title":"aphid: an R package for analysis with profile hidden Markov models","type":"article-journal"},"uris":["http://www.mendeley.com/documents/?uuid=c6f0f07d-fa55-4e68-b382-9fc5d3af79f5"]}],"mendeley":{"formattedCitation":"(S. Wilkinson, 2019)","plainTextFormattedCitation":"(S. Wilkinson, 2019)","previouslyFormattedCitation":"(S. Wilkinson, 2019)"},"properties":{"noteIndex":0},"schema":"https://github.com/citation-style-language/schema/raw/master/csl-citation.json"}</w:instrText>
      </w:r>
      <w:r w:rsidR="00740751" w:rsidRPr="00E33E6A">
        <w:rPr>
          <w:rFonts w:ascii="Lora" w:hAnsi="Lora"/>
          <w:sz w:val="22"/>
        </w:rPr>
        <w:fldChar w:fldCharType="separate"/>
      </w:r>
      <w:r w:rsidR="00740751" w:rsidRPr="00E33E6A">
        <w:rPr>
          <w:rFonts w:ascii="Lora" w:hAnsi="Lora"/>
          <w:noProof/>
          <w:sz w:val="22"/>
        </w:rPr>
        <w:t>(S. Wilkinson, 2019)</w:t>
      </w:r>
      <w:r w:rsidR="00740751" w:rsidRPr="00E33E6A">
        <w:rPr>
          <w:rFonts w:ascii="Lora" w:hAnsi="Lora"/>
          <w:sz w:val="22"/>
        </w:rPr>
        <w:fldChar w:fldCharType="end"/>
      </w:r>
      <w:r w:rsidR="009D4087" w:rsidRPr="00E33E6A">
        <w:rPr>
          <w:rFonts w:ascii="Lora" w:hAnsi="Lora"/>
          <w:sz w:val="22"/>
        </w:rPr>
        <w:t xml:space="preserve">. </w:t>
      </w:r>
      <w:r w:rsidR="00740751">
        <w:rPr>
          <w:rFonts w:ascii="Lora" w:hAnsi="Lora"/>
          <w:sz w:val="22"/>
        </w:rPr>
        <w:t>Following</w:t>
      </w:r>
      <w:r w:rsidR="0016608D" w:rsidRPr="00E33E6A">
        <w:rPr>
          <w:rFonts w:ascii="Lora" w:hAnsi="Lora"/>
          <w:sz w:val="22"/>
        </w:rPr>
        <w:t xml:space="preserve"> alignment, all bases outside the </w:t>
      </w:r>
      <w:r w:rsidR="00305E77">
        <w:rPr>
          <w:rFonts w:ascii="Lora" w:hAnsi="Lora"/>
          <w:sz w:val="22"/>
        </w:rPr>
        <w:t>711bp amplicon of the conventional</w:t>
      </w:r>
      <w:r w:rsidR="0016608D" w:rsidRPr="00E33E6A">
        <w:rPr>
          <w:rFonts w:ascii="Lora" w:hAnsi="Lora"/>
          <w:sz w:val="22"/>
        </w:rPr>
        <w:t xml:space="preserve"> </w:t>
      </w:r>
      <w:r w:rsidR="00305E77">
        <w:rPr>
          <w:rFonts w:ascii="Lora" w:hAnsi="Lora"/>
          <w:sz w:val="22"/>
        </w:rPr>
        <w:t>‘</w:t>
      </w:r>
      <w:proofErr w:type="spellStart"/>
      <w:r w:rsidR="00305E77">
        <w:rPr>
          <w:rFonts w:ascii="Lora" w:hAnsi="Lora"/>
          <w:sz w:val="22"/>
        </w:rPr>
        <w:t>folmer</w:t>
      </w:r>
      <w:proofErr w:type="spellEnd"/>
      <w:r w:rsidR="00305E77">
        <w:rPr>
          <w:rFonts w:ascii="Lora" w:hAnsi="Lora"/>
          <w:sz w:val="22"/>
        </w:rPr>
        <w:t xml:space="preserve">’ </w:t>
      </w:r>
      <w:r w:rsidR="0016608D" w:rsidRPr="00E33E6A">
        <w:rPr>
          <w:rFonts w:ascii="Lora" w:hAnsi="Lora"/>
          <w:sz w:val="22"/>
        </w:rPr>
        <w:t xml:space="preserve">barcode </w:t>
      </w:r>
      <w:r w:rsidR="00305E77" w:rsidRPr="00E33E6A">
        <w:rPr>
          <w:rFonts w:ascii="Lora" w:hAnsi="Lora"/>
          <w:sz w:val="22"/>
        </w:rPr>
        <w:t>region</w:t>
      </w:r>
      <w:r w:rsidR="00305E77">
        <w:rPr>
          <w:rFonts w:ascii="Lora" w:hAnsi="Lora"/>
          <w:sz w:val="22"/>
        </w:rPr>
        <w:t xml:space="preserve"> </w:t>
      </w:r>
      <w:r w:rsidR="00305E77" w:rsidRPr="00E33E6A">
        <w:rPr>
          <w:rFonts w:ascii="Lora" w:hAnsi="Lora"/>
          <w:sz w:val="22"/>
        </w:rPr>
        <w:t>were</w:t>
      </w:r>
      <w:r w:rsidR="0016608D" w:rsidRPr="00E33E6A">
        <w:rPr>
          <w:rFonts w:ascii="Lora" w:hAnsi="Lora"/>
          <w:sz w:val="22"/>
        </w:rPr>
        <w:t xml:space="preserve"> </w:t>
      </w:r>
      <w:r w:rsidR="00305E77">
        <w:rPr>
          <w:rFonts w:ascii="Lora" w:hAnsi="Lora"/>
          <w:sz w:val="22"/>
        </w:rPr>
        <w:t>shaved off</w:t>
      </w:r>
      <w:r w:rsidR="0016608D" w:rsidRPr="00E33E6A">
        <w:rPr>
          <w:rFonts w:ascii="Lora" w:hAnsi="Lora"/>
          <w:sz w:val="22"/>
        </w:rPr>
        <w:t>.</w:t>
      </w:r>
      <w:r w:rsidR="00F742A7">
        <w:rPr>
          <w:rFonts w:ascii="Lora" w:hAnsi="Lora"/>
          <w:sz w:val="22"/>
        </w:rPr>
        <w:t xml:space="preserve"> While this PHMM alignment successfully removed non-homologous sequence data, it did not sufficiently control for closely related pseudogenes, and therefore the sequences were further checked for stop codons.</w:t>
      </w:r>
      <w:r w:rsidR="0016608D" w:rsidRPr="00E33E6A">
        <w:rPr>
          <w:rFonts w:ascii="Lora" w:hAnsi="Lora"/>
          <w:sz w:val="22"/>
        </w:rPr>
        <w:t xml:space="preserve"> </w:t>
      </w:r>
      <w:r w:rsidR="00305E77">
        <w:rPr>
          <w:rFonts w:ascii="Lora" w:hAnsi="Lora"/>
          <w:sz w:val="22"/>
        </w:rPr>
        <w:t xml:space="preserve">Next, </w:t>
      </w:r>
      <w:r w:rsidR="00305E77" w:rsidRPr="00305E77">
        <w:rPr>
          <w:rFonts w:ascii="Lora" w:hAnsi="Lora"/>
          <w:sz w:val="22"/>
        </w:rPr>
        <w:t xml:space="preserve">records containing terms indicating insufficient identification (i.e. sp., nr., </w:t>
      </w:r>
      <w:proofErr w:type="spellStart"/>
      <w:r w:rsidR="00305E77" w:rsidRPr="00305E77">
        <w:rPr>
          <w:rFonts w:ascii="Lora" w:hAnsi="Lora"/>
          <w:sz w:val="22"/>
        </w:rPr>
        <w:t>aff</w:t>
      </w:r>
      <w:proofErr w:type="spellEnd"/>
      <w:r w:rsidR="00305E77" w:rsidRPr="00305E77">
        <w:rPr>
          <w:rFonts w:ascii="Lora" w:hAnsi="Lora"/>
          <w:sz w:val="22"/>
        </w:rPr>
        <w:t>. – see Appendix S1 for full list of terms)</w:t>
      </w:r>
      <w:r w:rsidR="00305E77">
        <w:rPr>
          <w:rFonts w:ascii="Lora" w:hAnsi="Lora"/>
          <w:sz w:val="22"/>
        </w:rPr>
        <w:t xml:space="preserve"> were removed. In order to identify taxonomically mislabelled sequences, </w:t>
      </w:r>
      <w:r w:rsidR="0016608D" w:rsidRPr="00E33E6A">
        <w:rPr>
          <w:rFonts w:ascii="Lora" w:hAnsi="Lora"/>
          <w:sz w:val="22"/>
        </w:rPr>
        <w:t xml:space="preserve">all sequences were clustered at 99% and species level taxonomies compared within clusters, </w:t>
      </w:r>
      <w:r w:rsidR="00305E77">
        <w:rPr>
          <w:rFonts w:ascii="Lora" w:hAnsi="Lora"/>
          <w:sz w:val="22"/>
        </w:rPr>
        <w:t xml:space="preserve">with </w:t>
      </w:r>
      <w:r w:rsidR="0016608D" w:rsidRPr="00E33E6A">
        <w:rPr>
          <w:rFonts w:ascii="Lora" w:hAnsi="Lora"/>
          <w:sz w:val="22"/>
        </w:rPr>
        <w:t>any sequences that differ</w:t>
      </w:r>
      <w:r w:rsidR="00305E77">
        <w:rPr>
          <w:rFonts w:ascii="Lora" w:hAnsi="Lora"/>
          <w:sz w:val="22"/>
        </w:rPr>
        <w:t>ed</w:t>
      </w:r>
      <w:r w:rsidR="0016608D" w:rsidRPr="00E33E6A">
        <w:rPr>
          <w:rFonts w:ascii="Lora" w:hAnsi="Lora"/>
          <w:sz w:val="22"/>
        </w:rPr>
        <w:t xml:space="preserve"> from at least </w:t>
      </w:r>
      <w:r w:rsidR="00305E77">
        <w:rPr>
          <w:rFonts w:ascii="Lora" w:hAnsi="Lora"/>
          <w:sz w:val="22"/>
        </w:rPr>
        <w:t>60</w:t>
      </w:r>
      <w:r w:rsidR="0016608D" w:rsidRPr="00E33E6A">
        <w:rPr>
          <w:rFonts w:ascii="Lora" w:hAnsi="Lora"/>
          <w:sz w:val="22"/>
        </w:rPr>
        <w:t>% of other sequences in the cluster removed from the dataset</w:t>
      </w:r>
      <w:r w:rsidR="00740751">
        <w:rPr>
          <w:rFonts w:ascii="Lora" w:hAnsi="Lora"/>
          <w:sz w:val="22"/>
        </w:rPr>
        <w:t>.</w:t>
      </w:r>
      <w:r w:rsidR="00F742A7">
        <w:rPr>
          <w:rFonts w:ascii="Lora" w:hAnsi="Lora"/>
          <w:sz w:val="22"/>
        </w:rPr>
        <w:t xml:space="preserve"> Next, taxonomic synonyms were resolved using the </w:t>
      </w:r>
      <w:r w:rsidR="00F742A7" w:rsidRPr="00F742A7">
        <w:rPr>
          <w:rFonts w:ascii="Lora" w:hAnsi="Lora"/>
          <w:sz w:val="22"/>
        </w:rPr>
        <w:t>Global Biodiversity Information Facility</w:t>
      </w:r>
      <w:r w:rsidR="00F742A7">
        <w:rPr>
          <w:rFonts w:ascii="Lora" w:hAnsi="Lora"/>
          <w:sz w:val="22"/>
        </w:rPr>
        <w:t xml:space="preserve"> database and the </w:t>
      </w:r>
      <w:proofErr w:type="spellStart"/>
      <w:r w:rsidR="00F742A7">
        <w:rPr>
          <w:rFonts w:ascii="Lora" w:hAnsi="Lora"/>
          <w:sz w:val="22"/>
        </w:rPr>
        <w:t>taxize</w:t>
      </w:r>
      <w:proofErr w:type="spellEnd"/>
      <w:r w:rsidR="00F742A7">
        <w:rPr>
          <w:rFonts w:ascii="Lora" w:hAnsi="Lora"/>
          <w:sz w:val="22"/>
        </w:rPr>
        <w:t xml:space="preserve"> R package. Finally</w:t>
      </w:r>
      <w:r w:rsidR="0016608D" w:rsidRPr="00E33E6A">
        <w:rPr>
          <w:rFonts w:ascii="Lora" w:hAnsi="Lora"/>
          <w:sz w:val="22"/>
        </w:rPr>
        <w:t xml:space="preserve">, to reduce reference bias due to incomplete sampling of the taxonomic tree, all large groups of taxa were pruned to </w:t>
      </w:r>
      <w:r w:rsidR="00F742A7">
        <w:rPr>
          <w:rFonts w:ascii="Lora" w:hAnsi="Lora"/>
          <w:sz w:val="22"/>
        </w:rPr>
        <w:t>5</w:t>
      </w:r>
      <w:r w:rsidR="0016608D" w:rsidRPr="00E33E6A">
        <w:rPr>
          <w:rFonts w:ascii="Lora" w:hAnsi="Lora"/>
          <w:sz w:val="22"/>
        </w:rPr>
        <w:t xml:space="preserve"> representatives of each species, with sequences discarded from smallest to largest until only </w:t>
      </w:r>
      <w:r w:rsidR="00F742A7">
        <w:rPr>
          <w:rFonts w:ascii="Lora" w:hAnsi="Lora"/>
          <w:sz w:val="22"/>
        </w:rPr>
        <w:t>5</w:t>
      </w:r>
      <w:r w:rsidR="0016608D" w:rsidRPr="00E33E6A">
        <w:rPr>
          <w:rFonts w:ascii="Lora" w:hAnsi="Lora"/>
          <w:sz w:val="22"/>
        </w:rPr>
        <w:t xml:space="preserve"> sequences remained.</w:t>
      </w:r>
    </w:p>
    <w:p w14:paraId="73F13AA6" w14:textId="783E52AC" w:rsidR="00FB182B" w:rsidRPr="00E33E6A" w:rsidRDefault="00FB182B" w:rsidP="0016608D">
      <w:pPr>
        <w:spacing w:line="360" w:lineRule="auto"/>
        <w:rPr>
          <w:rFonts w:ascii="Lora" w:hAnsi="Lora"/>
          <w:sz w:val="22"/>
        </w:rPr>
      </w:pPr>
      <w:r w:rsidRPr="00E33E6A">
        <w:rPr>
          <w:rFonts w:ascii="Lora" w:hAnsi="Lora"/>
          <w:i/>
          <w:sz w:val="22"/>
        </w:rPr>
        <w:t>Identification of optimal diagnostic windows</w:t>
      </w:r>
    </w:p>
    <w:p w14:paraId="6976AF80" w14:textId="36085D89" w:rsidR="00A12B58" w:rsidRPr="00E33E6A" w:rsidRDefault="0016608D" w:rsidP="0016608D">
      <w:pPr>
        <w:spacing w:line="360" w:lineRule="auto"/>
        <w:rPr>
          <w:rFonts w:ascii="Lora" w:hAnsi="Lora"/>
          <w:sz w:val="22"/>
        </w:rPr>
      </w:pPr>
      <w:r w:rsidRPr="00E33E6A">
        <w:rPr>
          <w:rFonts w:ascii="Lora" w:hAnsi="Lora"/>
          <w:sz w:val="22"/>
        </w:rPr>
        <w:t xml:space="preserve">To identify optimal diagnostic windows for </w:t>
      </w:r>
      <w:r w:rsidR="00B254A6" w:rsidRPr="00E33E6A">
        <w:rPr>
          <w:rFonts w:ascii="Lora" w:hAnsi="Lora"/>
          <w:sz w:val="22"/>
        </w:rPr>
        <w:t>placement</w:t>
      </w:r>
      <w:r w:rsidRPr="00E33E6A">
        <w:rPr>
          <w:rFonts w:ascii="Lora" w:hAnsi="Lora"/>
          <w:sz w:val="22"/>
        </w:rPr>
        <w:t xml:space="preserve"> of mini-barcodes within the 658bp </w:t>
      </w:r>
      <w:proofErr w:type="spellStart"/>
      <w:r w:rsidRPr="00E33E6A">
        <w:rPr>
          <w:rFonts w:ascii="Lora" w:hAnsi="Lora"/>
          <w:sz w:val="22"/>
        </w:rPr>
        <w:t>folmer</w:t>
      </w:r>
      <w:proofErr w:type="spellEnd"/>
      <w:r w:rsidRPr="00E33E6A">
        <w:rPr>
          <w:rFonts w:ascii="Lora" w:hAnsi="Lora"/>
          <w:sz w:val="22"/>
        </w:rPr>
        <w:t xml:space="preserve"> region, a</w:t>
      </w:r>
      <w:r w:rsidR="00FB182B" w:rsidRPr="00E33E6A">
        <w:rPr>
          <w:rFonts w:ascii="Lora" w:hAnsi="Lora"/>
          <w:sz w:val="22"/>
        </w:rPr>
        <w:t xml:space="preserve"> </w:t>
      </w:r>
      <w:r w:rsidR="00A12B58" w:rsidRPr="00E33E6A">
        <w:rPr>
          <w:rFonts w:ascii="Lora" w:hAnsi="Lora"/>
          <w:sz w:val="22"/>
        </w:rPr>
        <w:t xml:space="preserve">sliding window analysis was conducted </w:t>
      </w:r>
      <w:r w:rsidR="00FB182B" w:rsidRPr="00E33E6A">
        <w:rPr>
          <w:rFonts w:ascii="Lora" w:hAnsi="Lora"/>
          <w:sz w:val="22"/>
        </w:rPr>
        <w:t xml:space="preserve">on the curated reference sequences for each family </w:t>
      </w:r>
      <w:r w:rsidR="00A12B58" w:rsidRPr="00E33E6A">
        <w:rPr>
          <w:rFonts w:ascii="Lora" w:hAnsi="Lora"/>
          <w:sz w:val="22"/>
        </w:rPr>
        <w:t>using the SPIDER r package</w:t>
      </w:r>
      <w:r w:rsidR="00B254A6" w:rsidRPr="00E33E6A">
        <w:rPr>
          <w:rFonts w:ascii="Lora" w:hAnsi="Lora"/>
          <w:sz w:val="22"/>
        </w:rPr>
        <w:t xml:space="preserve"> </w:t>
      </w:r>
      <w:r w:rsidR="00B254A6" w:rsidRPr="00E33E6A">
        <w:rPr>
          <w:rFonts w:ascii="Lora" w:hAnsi="Lora"/>
          <w:sz w:val="22"/>
        </w:rPr>
        <w:fldChar w:fldCharType="begin" w:fldLock="1"/>
      </w:r>
      <w:r w:rsidR="00E33E6A" w:rsidRPr="00E33E6A">
        <w:rPr>
          <w:rFonts w:ascii="Lora" w:hAnsi="Lora"/>
          <w:sz w:val="22"/>
        </w:rPr>
        <w:instrText>ADDIN CSL_CITATION {"citationItems":[{"id":"ITEM-1","itemData":{"author":[{"dropping-particle":"","family":"Brown","given":"Samuel D J","non-dropping-particle":"","parse-names":false,"suffix":""},{"dropping-particle":"","family":"Collins","given":"Rupert A","non-dropping-particle":"","parse-names":false,"suffix":""},{"dropping-particle":"","family":"Boyer","given":"Stephane","non-dropping-particle":"","parse-names":false,"suffix":""},{"dropping-particle":"","family":"Lefort","given":"Marie-Caroline","non-dropping-particle":"","parse-names":false,"suffix":""},{"dropping-particle":"","family":"Malumbres-Olarte","given":"Jagoba","non-dropping-particle":"","parse-names":false,"suffix":""},{"dropping-particle":"","family":"Vink","given":"Cor J","non-dropping-particle":"","parse-names":false,"suffix":""},{"dropping-particle":"","family":"Cruickshank","given":"Robert H","non-dropping-particle":"","parse-names":false,"suffix":""}],"container-title":"Molecular Ecology Resources","id":"ITEM-1","issued":{"date-parts":[["2012"]]},"page":"562-565","title":"SPIDER: an R package for the analysis of species identity and evolution, with particular reference to DNA barcoding","type":"article-journal","volume":"12"},"uris":["http://www.mendeley.com/documents/?uuid=4ccd2e94-2957-4502-9c0c-859d9779c602"]}],"mendeley":{"formattedCitation":"(Brown et al., 2012)","plainTextFormattedCitation":"(Brown et al., 2012)","previouslyFormattedCitation":"(Brown et al., 2012)"},"properties":{"noteIndex":0},"schema":"https://github.com/citation-style-language/schema/raw/master/csl-citation.json"}</w:instrText>
      </w:r>
      <w:r w:rsidR="00B254A6" w:rsidRPr="00E33E6A">
        <w:rPr>
          <w:rFonts w:ascii="Lora" w:hAnsi="Lora"/>
          <w:sz w:val="22"/>
        </w:rPr>
        <w:fldChar w:fldCharType="separate"/>
      </w:r>
      <w:r w:rsidR="00B254A6" w:rsidRPr="00E33E6A">
        <w:rPr>
          <w:rFonts w:ascii="Lora" w:hAnsi="Lora"/>
          <w:noProof/>
          <w:sz w:val="22"/>
        </w:rPr>
        <w:t>(Brown et al., 2012)</w:t>
      </w:r>
      <w:r w:rsidR="00B254A6" w:rsidRPr="00E33E6A">
        <w:rPr>
          <w:rFonts w:ascii="Lora" w:hAnsi="Lora"/>
          <w:sz w:val="22"/>
        </w:rPr>
        <w:fldChar w:fldCharType="end"/>
      </w:r>
      <w:r w:rsidR="00FB182B" w:rsidRPr="00E33E6A">
        <w:rPr>
          <w:rFonts w:ascii="Lora" w:hAnsi="Lora"/>
          <w:sz w:val="22"/>
        </w:rPr>
        <w:t xml:space="preserve"> and the number of diagnostic nucleotides and proportion of species that were monophyletic were summarised for each 220bp window.  A density plot of the</w:t>
      </w:r>
      <w:r w:rsidR="00A12B58" w:rsidRPr="00E33E6A">
        <w:rPr>
          <w:rFonts w:ascii="Lora" w:hAnsi="Lora"/>
          <w:sz w:val="22"/>
        </w:rPr>
        <w:t xml:space="preserve"> </w:t>
      </w:r>
      <w:r w:rsidR="00FB182B" w:rsidRPr="00E33E6A">
        <w:rPr>
          <w:rFonts w:ascii="Lora" w:hAnsi="Lora"/>
          <w:sz w:val="22"/>
        </w:rPr>
        <w:t xml:space="preserve">10 </w:t>
      </w:r>
      <w:r w:rsidR="00A12B58" w:rsidRPr="00E33E6A">
        <w:rPr>
          <w:rFonts w:ascii="Lora" w:hAnsi="Lora"/>
          <w:sz w:val="22"/>
        </w:rPr>
        <w:t>highest ranked window positions</w:t>
      </w:r>
      <w:r w:rsidR="00FB182B" w:rsidRPr="00E33E6A">
        <w:rPr>
          <w:rFonts w:ascii="Lora" w:hAnsi="Lora"/>
          <w:sz w:val="22"/>
        </w:rPr>
        <w:t xml:space="preserve"> </w:t>
      </w:r>
      <w:r w:rsidR="00B254A6" w:rsidRPr="00E33E6A">
        <w:rPr>
          <w:rFonts w:ascii="Lora" w:hAnsi="Lora"/>
          <w:sz w:val="22"/>
        </w:rPr>
        <w:t>within</w:t>
      </w:r>
      <w:r w:rsidR="00FB182B" w:rsidRPr="00E33E6A">
        <w:rPr>
          <w:rFonts w:ascii="Lora" w:hAnsi="Lora"/>
          <w:sz w:val="22"/>
        </w:rPr>
        <w:t xml:space="preserve"> each family was then used to </w:t>
      </w:r>
      <w:r w:rsidR="00A12B58" w:rsidRPr="00E33E6A">
        <w:rPr>
          <w:rFonts w:ascii="Lora" w:hAnsi="Lora"/>
          <w:sz w:val="22"/>
        </w:rPr>
        <w:t xml:space="preserve">identify </w:t>
      </w:r>
      <w:r w:rsidR="00B254A6" w:rsidRPr="00E33E6A">
        <w:rPr>
          <w:rFonts w:ascii="Lora" w:hAnsi="Lora"/>
          <w:sz w:val="22"/>
        </w:rPr>
        <w:t xml:space="preserve">globally optimal </w:t>
      </w:r>
      <w:r w:rsidR="00A12B58" w:rsidRPr="00E33E6A">
        <w:rPr>
          <w:rFonts w:ascii="Lora" w:hAnsi="Lora"/>
          <w:sz w:val="22"/>
        </w:rPr>
        <w:t xml:space="preserve">regions </w:t>
      </w:r>
      <w:r w:rsidR="00FB182B" w:rsidRPr="00E33E6A">
        <w:rPr>
          <w:rFonts w:ascii="Lora" w:hAnsi="Lora"/>
          <w:sz w:val="22"/>
        </w:rPr>
        <w:t>for diagnostics of</w:t>
      </w:r>
      <w:r w:rsidR="00B254A6" w:rsidRPr="00E33E6A">
        <w:rPr>
          <w:rFonts w:ascii="Lora" w:hAnsi="Lora"/>
          <w:sz w:val="22"/>
        </w:rPr>
        <w:t xml:space="preserve"> all</w:t>
      </w:r>
      <w:r w:rsidR="00FB182B" w:rsidRPr="00E33E6A">
        <w:rPr>
          <w:rFonts w:ascii="Lora" w:hAnsi="Lora"/>
          <w:sz w:val="22"/>
        </w:rPr>
        <w:t xml:space="preserve"> pest insect families</w:t>
      </w:r>
      <w:r w:rsidR="00B254A6" w:rsidRPr="00E33E6A">
        <w:rPr>
          <w:rFonts w:ascii="Lora" w:hAnsi="Lora"/>
          <w:sz w:val="22"/>
        </w:rPr>
        <w:t xml:space="preserve"> on the list. Published p</w:t>
      </w:r>
      <w:r w:rsidR="00FB182B" w:rsidRPr="00E33E6A">
        <w:rPr>
          <w:rFonts w:ascii="Lora" w:hAnsi="Lora"/>
          <w:sz w:val="22"/>
        </w:rPr>
        <w:t>rimer sets overlapping these regions were retrieved</w:t>
      </w:r>
      <w:r w:rsidR="00B254A6" w:rsidRPr="00E33E6A">
        <w:rPr>
          <w:rFonts w:ascii="Lora" w:hAnsi="Lora"/>
          <w:sz w:val="22"/>
        </w:rPr>
        <w:t xml:space="preserve">, and </w:t>
      </w:r>
      <w:proofErr w:type="gramStart"/>
      <w:r w:rsidR="00B254A6" w:rsidRPr="00E33E6A">
        <w:rPr>
          <w:rFonts w:ascii="Lora" w:hAnsi="Lora"/>
          <w:sz w:val="22"/>
        </w:rPr>
        <w:t>a number of</w:t>
      </w:r>
      <w:proofErr w:type="gramEnd"/>
      <w:r w:rsidR="00B254A6" w:rsidRPr="00E33E6A">
        <w:rPr>
          <w:rFonts w:ascii="Lora" w:hAnsi="Lora"/>
          <w:sz w:val="22"/>
        </w:rPr>
        <w:t xml:space="preserve"> additional sets were designed using Primer3 implemented in </w:t>
      </w:r>
      <w:proofErr w:type="spellStart"/>
      <w:r w:rsidR="00B254A6" w:rsidRPr="00E33E6A">
        <w:rPr>
          <w:rFonts w:ascii="Lora" w:hAnsi="Lora"/>
          <w:sz w:val="22"/>
        </w:rPr>
        <w:t>Geneious</w:t>
      </w:r>
      <w:proofErr w:type="spellEnd"/>
      <w:r w:rsidR="00B254A6" w:rsidRPr="00E33E6A">
        <w:rPr>
          <w:rFonts w:ascii="Lora" w:hAnsi="Lora"/>
          <w:sz w:val="22"/>
        </w:rPr>
        <w:t xml:space="preserve"> Prime v2019.2 (</w:t>
      </w:r>
      <w:proofErr w:type="spellStart"/>
      <w:r w:rsidR="00B254A6" w:rsidRPr="00E33E6A">
        <w:rPr>
          <w:rFonts w:ascii="Lora" w:hAnsi="Lora"/>
          <w:sz w:val="22"/>
        </w:rPr>
        <w:t>Geneious</w:t>
      </w:r>
      <w:proofErr w:type="spellEnd"/>
      <w:r w:rsidR="00B254A6" w:rsidRPr="00E33E6A">
        <w:rPr>
          <w:rFonts w:ascii="Lora" w:hAnsi="Lora"/>
          <w:sz w:val="22"/>
        </w:rPr>
        <w:t>, New Zealand)</w:t>
      </w:r>
      <w:r w:rsidR="00FB182B" w:rsidRPr="00E33E6A">
        <w:rPr>
          <w:rFonts w:ascii="Lora" w:hAnsi="Lora"/>
          <w:sz w:val="22"/>
        </w:rPr>
        <w:t xml:space="preserve">. </w:t>
      </w:r>
    </w:p>
    <w:p w14:paraId="2F5CBE7B" w14:textId="08C6B660" w:rsidR="00FB182B" w:rsidRPr="00E33E6A" w:rsidRDefault="008175D5" w:rsidP="0016608D">
      <w:pPr>
        <w:spacing w:line="360" w:lineRule="auto"/>
        <w:rPr>
          <w:rFonts w:ascii="Lora" w:hAnsi="Lora"/>
          <w:sz w:val="22"/>
        </w:rPr>
      </w:pPr>
      <w:r>
        <w:rPr>
          <w:rFonts w:ascii="Lora" w:hAnsi="Lora"/>
          <w:i/>
          <w:sz w:val="22"/>
        </w:rPr>
        <w:t>In-silico validation</w:t>
      </w:r>
      <w:r w:rsidR="00FB182B" w:rsidRPr="00E33E6A">
        <w:rPr>
          <w:rFonts w:ascii="Lora" w:hAnsi="Lora"/>
          <w:i/>
          <w:sz w:val="22"/>
        </w:rPr>
        <w:t xml:space="preserve"> of </w:t>
      </w:r>
      <w:r w:rsidR="00A45177" w:rsidRPr="00E33E6A">
        <w:rPr>
          <w:rFonts w:ascii="Lora" w:hAnsi="Lora"/>
          <w:i/>
          <w:sz w:val="22"/>
        </w:rPr>
        <w:t>primer sets</w:t>
      </w:r>
    </w:p>
    <w:p w14:paraId="377151B5" w14:textId="015DCACC" w:rsidR="00A12B58" w:rsidRPr="00E33E6A" w:rsidRDefault="00A45177" w:rsidP="0016608D">
      <w:pPr>
        <w:spacing w:line="360" w:lineRule="auto"/>
        <w:rPr>
          <w:rFonts w:ascii="Lora" w:hAnsi="Lora"/>
          <w:sz w:val="22"/>
        </w:rPr>
      </w:pPr>
      <w:r w:rsidRPr="00E33E6A">
        <w:rPr>
          <w:rFonts w:ascii="Lora" w:hAnsi="Lora"/>
          <w:sz w:val="22"/>
        </w:rPr>
        <w:t xml:space="preserve">To evaluate </w:t>
      </w:r>
      <w:r w:rsidR="00B254A6" w:rsidRPr="00E33E6A">
        <w:rPr>
          <w:rFonts w:ascii="Lora" w:hAnsi="Lora"/>
          <w:sz w:val="22"/>
        </w:rPr>
        <w:t xml:space="preserve">the resolution of </w:t>
      </w:r>
      <w:r w:rsidRPr="00E33E6A">
        <w:rPr>
          <w:rFonts w:ascii="Lora" w:hAnsi="Lora"/>
          <w:sz w:val="22"/>
        </w:rPr>
        <w:t xml:space="preserve">published primer </w:t>
      </w:r>
      <w:r w:rsidR="00B254A6" w:rsidRPr="00E33E6A">
        <w:rPr>
          <w:rFonts w:ascii="Lora" w:hAnsi="Lora"/>
          <w:sz w:val="22"/>
        </w:rPr>
        <w:t xml:space="preserve">and novel primer </w:t>
      </w:r>
      <w:r w:rsidRPr="00E33E6A">
        <w:rPr>
          <w:rFonts w:ascii="Lora" w:hAnsi="Lora"/>
          <w:sz w:val="22"/>
        </w:rPr>
        <w:t xml:space="preserve">sets </w:t>
      </w:r>
      <w:r w:rsidR="00B254A6" w:rsidRPr="00E33E6A">
        <w:rPr>
          <w:rFonts w:ascii="Lora" w:hAnsi="Lora"/>
          <w:sz w:val="22"/>
        </w:rPr>
        <w:t xml:space="preserve">across pest </w:t>
      </w:r>
      <w:r w:rsidRPr="00E33E6A">
        <w:rPr>
          <w:rFonts w:ascii="Lora" w:hAnsi="Lora"/>
          <w:sz w:val="22"/>
        </w:rPr>
        <w:t>taxa, sequence a</w:t>
      </w:r>
      <w:r w:rsidR="00A12B58" w:rsidRPr="00E33E6A">
        <w:rPr>
          <w:rFonts w:ascii="Lora" w:hAnsi="Lora"/>
          <w:sz w:val="22"/>
        </w:rPr>
        <w:t xml:space="preserve">lignments for each </w:t>
      </w:r>
      <w:r w:rsidR="00B254A6" w:rsidRPr="00E33E6A">
        <w:rPr>
          <w:rFonts w:ascii="Lora" w:hAnsi="Lora"/>
          <w:sz w:val="22"/>
        </w:rPr>
        <w:t xml:space="preserve">pest </w:t>
      </w:r>
      <w:r w:rsidR="00A12B58" w:rsidRPr="00E33E6A">
        <w:rPr>
          <w:rFonts w:ascii="Lora" w:hAnsi="Lora"/>
          <w:sz w:val="22"/>
        </w:rPr>
        <w:t xml:space="preserve">family were trimmed to the amplified region </w:t>
      </w:r>
      <w:r w:rsidR="00B254A6" w:rsidRPr="00E33E6A">
        <w:rPr>
          <w:rFonts w:ascii="Lora" w:hAnsi="Lora"/>
          <w:sz w:val="22"/>
        </w:rPr>
        <w:t xml:space="preserve">of </w:t>
      </w:r>
      <w:r w:rsidR="00A12B58" w:rsidRPr="00E33E6A">
        <w:rPr>
          <w:rFonts w:ascii="Lora" w:hAnsi="Lora"/>
          <w:sz w:val="22"/>
        </w:rPr>
        <w:t xml:space="preserve">each primer set using </w:t>
      </w:r>
      <w:r w:rsidRPr="00E33E6A">
        <w:rPr>
          <w:rFonts w:ascii="Lora" w:hAnsi="Lora"/>
          <w:sz w:val="22"/>
        </w:rPr>
        <w:t>the insect R package</w:t>
      </w:r>
      <w:r w:rsidR="00B254A6" w:rsidRPr="00E33E6A">
        <w:rPr>
          <w:rFonts w:ascii="Lora" w:hAnsi="Lora"/>
          <w:sz w:val="22"/>
        </w:rPr>
        <w:t xml:space="preserve"> </w:t>
      </w:r>
      <w:r w:rsidR="00B254A6" w:rsidRPr="00E33E6A">
        <w:rPr>
          <w:rFonts w:ascii="Lora" w:hAnsi="Lora"/>
          <w:sz w:val="22"/>
        </w:rPr>
        <w:fldChar w:fldCharType="begin" w:fldLock="1"/>
      </w:r>
      <w:r w:rsidR="00001C9C">
        <w:rPr>
          <w:rFonts w:ascii="Lora" w:hAnsi="Lora"/>
          <w:sz w:val="22"/>
        </w:rPr>
        <w:instrText>ADDIN CSL_CITATION {"citationItems":[{"id":"ITEM-1","itemData":{"DOI":"10.7287/peerj.preprints.26812v1","ISSN":"2167-9843","abstract":"High-throughput sequencing of environmental DNA (eDNA) offers a simple and cost-effective solution for marine biodiversity assessments. Yet several analytical challenges remain, including the incorporation of statistical inference in the assignment of taxonomic identities. We developed a probabilistic method for DNA barcode classification that can be used for both eDNA and traditional single-source sampling. The pipeline involves: (1) compiling a primer-specific database of barcode sequences to be used as training data (obtained from GenBank and other sequence repositories), (2) generating a classification tree using an iterative learning algorithm that divisively sorts the training data into hierarchical clusters based on profile hidden Markov models, (3) assignment of each query sequence to a cluster using a recursive series of model-comparison tests, and (4) taxonomic identification of the query sequences based on the lowest common taxonomic rank of the training sequences within the cluster. This method compares favorably to other DNA classification methods when tested on benchmark datasets, and offers the added features of classifying at higher taxonomic ranks and returning interpretable confidence values in the form of the Akaike weight statistic. This bioinformatics pipeline is available as an open source R package called ‘insect’ (informatic sequence classification trees).","author":[{"dropping-particle":"","family":"Wilkinson","given":"Shaun P","non-dropping-particle":"","parse-names":false,"suffix":""},{"dropping-particle":"","family":"Davy","given":"Simon K","non-dropping-particle":"","parse-names":false,"suffix":""},{"dropping-particle":"","family":"Bunce","given":"Michael","non-dropping-particle":"","parse-names":false,"suffix":""},{"dropping-particle":"","family":"Stat","given":"Michael","non-dropping-particle":"","parse-names":false,"suffix":""}],"container-title":"PeerJ Preprints","id":"ITEM-1","issued":{"date-parts":[["2018","3"]]},"page":"e26812v1","title":"Taxonomic identification of environmental DNA with informatic sequence classification trees.","type":"article-journal","volume":"6"},"uris":["http://www.mendeley.com/documents/?uuid=5e059a10-0ad2-4a59-939c-ceaeb6856c4d"]}],"mendeley":{"formattedCitation":"(S. P. Wilkinson, Davy, Bunce, &amp; Stat, 2018)","plainTextFormattedCitation":"(S. P. Wilkinson, Davy, Bunce, &amp; Stat, 2018)","previouslyFormattedCitation":"(S. P. Wilkinson, Davy, Bunce, &amp; Stat, 2018)"},"properties":{"noteIndex":0},"schema":"https://github.com/citation-style-language/schema/raw/master/csl-citation.json"}</w:instrText>
      </w:r>
      <w:r w:rsidR="00B254A6" w:rsidRPr="00E33E6A">
        <w:rPr>
          <w:rFonts w:ascii="Lora" w:hAnsi="Lora"/>
          <w:sz w:val="22"/>
        </w:rPr>
        <w:fldChar w:fldCharType="separate"/>
      </w:r>
      <w:r w:rsidR="00A04E08" w:rsidRPr="00A04E08">
        <w:rPr>
          <w:rFonts w:ascii="Lora" w:hAnsi="Lora"/>
          <w:noProof/>
          <w:sz w:val="22"/>
        </w:rPr>
        <w:t>(S. P. Wilkinson, Davy, Bunce, &amp; Stat, 2018)</w:t>
      </w:r>
      <w:r w:rsidR="00B254A6" w:rsidRPr="00E33E6A">
        <w:rPr>
          <w:rFonts w:ascii="Lora" w:hAnsi="Lora"/>
          <w:sz w:val="22"/>
        </w:rPr>
        <w:fldChar w:fldCharType="end"/>
      </w:r>
      <w:r w:rsidR="00A12B58" w:rsidRPr="00E33E6A">
        <w:rPr>
          <w:rFonts w:ascii="Lora" w:hAnsi="Lora"/>
          <w:sz w:val="22"/>
        </w:rPr>
        <w:t xml:space="preserve">, </w:t>
      </w:r>
      <w:r w:rsidRPr="00E33E6A">
        <w:rPr>
          <w:rFonts w:ascii="Lora" w:hAnsi="Lora"/>
          <w:sz w:val="22"/>
        </w:rPr>
        <w:t>and pairwise genetic distances were generated using the raw model in SPIDER</w:t>
      </w:r>
      <w:r w:rsidR="00A12B58" w:rsidRPr="00E33E6A">
        <w:rPr>
          <w:rFonts w:ascii="Lora" w:hAnsi="Lora"/>
          <w:sz w:val="22"/>
        </w:rPr>
        <w:t xml:space="preserve">. </w:t>
      </w:r>
      <w:r w:rsidR="00934A24" w:rsidRPr="00E33E6A">
        <w:rPr>
          <w:rFonts w:ascii="Lora" w:hAnsi="Lora"/>
          <w:sz w:val="22"/>
        </w:rPr>
        <w:t>In order to</w:t>
      </w:r>
      <w:r w:rsidRPr="00E33E6A">
        <w:rPr>
          <w:rFonts w:ascii="Lora" w:hAnsi="Lora"/>
          <w:sz w:val="22"/>
        </w:rPr>
        <w:t xml:space="preserve"> summarise the </w:t>
      </w:r>
      <w:r w:rsidR="00934A24" w:rsidRPr="00E33E6A">
        <w:rPr>
          <w:rFonts w:ascii="Lora" w:hAnsi="Lora"/>
          <w:sz w:val="22"/>
        </w:rPr>
        <w:t xml:space="preserve">taxonomic groups </w:t>
      </w:r>
      <w:r w:rsidRPr="00E33E6A">
        <w:rPr>
          <w:rFonts w:ascii="Lora" w:hAnsi="Lora"/>
          <w:sz w:val="22"/>
        </w:rPr>
        <w:t xml:space="preserve">likely to be misidentified or ambiguously identified </w:t>
      </w:r>
      <w:r w:rsidR="00934A24" w:rsidRPr="00E33E6A">
        <w:rPr>
          <w:rFonts w:ascii="Lora" w:hAnsi="Lora"/>
          <w:sz w:val="22"/>
        </w:rPr>
        <w:t xml:space="preserve">when using each mini-barcode </w:t>
      </w:r>
      <w:r w:rsidRPr="00E33E6A">
        <w:rPr>
          <w:rFonts w:ascii="Lora" w:hAnsi="Lora"/>
          <w:sz w:val="22"/>
        </w:rPr>
        <w:t xml:space="preserve">primer set, summary statistics of identification success </w:t>
      </w:r>
      <w:r w:rsidRPr="00E33E6A">
        <w:rPr>
          <w:rFonts w:ascii="Lora" w:hAnsi="Lora"/>
          <w:sz w:val="22"/>
        </w:rPr>
        <w:lastRenderedPageBreak/>
        <w:t xml:space="preserve">were generated using the </w:t>
      </w:r>
      <w:proofErr w:type="spellStart"/>
      <w:r w:rsidRPr="00E33E6A">
        <w:rPr>
          <w:rFonts w:ascii="Lora" w:hAnsi="Lora"/>
          <w:sz w:val="22"/>
        </w:rPr>
        <w:t>nearNeighbour</w:t>
      </w:r>
      <w:proofErr w:type="spellEnd"/>
      <w:r w:rsidRPr="00E33E6A">
        <w:rPr>
          <w:rFonts w:ascii="Lora" w:hAnsi="Lora"/>
          <w:sz w:val="22"/>
        </w:rPr>
        <w:t xml:space="preserve">, </w:t>
      </w:r>
      <w:proofErr w:type="spellStart"/>
      <w:r w:rsidRPr="00E33E6A">
        <w:rPr>
          <w:rFonts w:ascii="Lora" w:hAnsi="Lora"/>
          <w:sz w:val="22"/>
        </w:rPr>
        <w:t>BestCloseMatch</w:t>
      </w:r>
      <w:proofErr w:type="spellEnd"/>
      <w:r w:rsidRPr="00E33E6A">
        <w:rPr>
          <w:rFonts w:ascii="Lora" w:hAnsi="Lora"/>
          <w:sz w:val="22"/>
        </w:rPr>
        <w:t xml:space="preserve">, and </w:t>
      </w:r>
      <w:r w:rsidR="00934A24" w:rsidRPr="00E33E6A">
        <w:rPr>
          <w:rFonts w:ascii="Lora" w:hAnsi="Lora"/>
          <w:sz w:val="22"/>
        </w:rPr>
        <w:t>reciprocal</w:t>
      </w:r>
      <w:r w:rsidRPr="00E33E6A">
        <w:rPr>
          <w:rFonts w:ascii="Lora" w:hAnsi="Lora"/>
          <w:sz w:val="22"/>
        </w:rPr>
        <w:t xml:space="preserve"> monophyly </w:t>
      </w:r>
      <w:r w:rsidR="00934A24" w:rsidRPr="00E33E6A">
        <w:rPr>
          <w:rFonts w:ascii="Lora" w:hAnsi="Lora"/>
          <w:sz w:val="22"/>
        </w:rPr>
        <w:t>identification methods in SPIDER, and those failing identification</w:t>
      </w:r>
      <w:r w:rsidRPr="00E33E6A">
        <w:rPr>
          <w:rFonts w:ascii="Lora" w:hAnsi="Lora"/>
          <w:sz w:val="22"/>
        </w:rPr>
        <w:t xml:space="preserve"> were further explored using neighbour joining trees.</w:t>
      </w:r>
      <w:r w:rsidR="00934A24" w:rsidRPr="00E33E6A">
        <w:rPr>
          <w:rFonts w:ascii="Lora" w:hAnsi="Lora"/>
          <w:sz w:val="22"/>
        </w:rPr>
        <w:t xml:space="preserve"> In addition to the resolution of primer sets, the level of mismatch between the primers and template must be considered when selecting a primer set as this is thought to be the primary driver of bias in quantification and detection success </w:t>
      </w:r>
      <w:r w:rsidR="00F50D17" w:rsidRPr="00E33E6A">
        <w:rPr>
          <w:rFonts w:ascii="Lora" w:hAnsi="Lora"/>
          <w:sz w:val="22"/>
        </w:rPr>
        <w:fldChar w:fldCharType="begin" w:fldLock="1"/>
      </w:r>
      <w:r w:rsidR="006A519B" w:rsidRPr="00E33E6A">
        <w:rPr>
          <w:rFonts w:ascii="Lora" w:hAnsi="Lora"/>
          <w:sz w:val="22"/>
        </w:rPr>
        <w:instrText>ADDIN CSL_CITATION {"citationItems":[{"id":"ITEM-1","itemData":{"DOI":"10.1111/1755-0998.12355","ISBN":"1755-098X","ISSN":"17550998","PMID":"25454249","abstract":"The quantification of the biological diversity in environmental samples using high-throughput DNA sequencing is hindered by the PCR bias caused by variable primer-template mismatches of the individual species. In some dietary studies, there is the added problem that samples are enriched with predator DNA, so often a predator-specific blocking oligonucleotide is used to alleviate the problem. However, specific blocking oligonucleotides could coblock nontarget species to some degree. Here, we accurately estimate the extent of the PCR biases induced by universal and blocking primers on a mock community prepared with DNA of twelve species of terrestrial arthropods. We also compare universal and blocking primer biases with those induced by variable annealing temperature and number of PCR cycles. The results show that reads of all species were recovered after PCR enrichment at our control conditions (no blocking oligonucleotide, 45 °C annealing temperature and 40 cycles) and high-throughput sequencing. They also show that the four factors considered biased the final proportions of the species to some degree. Among these factors, the number of primer-template mismatches of each species had a disproportionate effect (up to five orders of magnitude) on the amplification efficiency. In particular, the number of primer-template mismatches explained most of the variation (~3/4) in the amplification efficiency of the species. The effect of blocking oligonucleotide concentration on nontarget species relative abundance was also significant, but less important (below one order of magnitude). Considering the results reported here, the quantitative potential of the technique is limited, and only qualitative results (the species list) are reliable, at least when targeting the barcoding COI region.","author":[{"dropping-particle":"","family":"Piñol","given":"Josep","non-dropping-particle":"","parse-names":false,"suffix":""},{"dropping-particle":"","family":"Mir","given":"G.","non-dropping-particle":"","parse-names":false,"suffix":""},{"dropping-particle":"","family":"Gomez-Polo","given":"P.","non-dropping-particle":"","parse-names":false,"suffix":""},{"dropping-particle":"","family":"Agustí","given":"N.","non-dropping-particle":"","parse-names":false,"suffix":""}],"container-title":"Molecular Ecology Resources","id":"ITEM-1","issue":"4","issued":{"date-parts":[["2015"]]},"page":"819-830","title":"Universal and blocking primer mismatches limit the use of high-throughput DNA sequencing for the quantitative metabarcoding of arthropods","type":"article-journal","volume":"15"},"uris":["http://www.mendeley.com/documents/?uuid=728a83c1-c489-4ad9-ae33-a54bd086471e"]},{"id":"ITEM-2","itemData":{"DOI":"10.1111/mec.14776","ISSN":"09621083","author":[{"dropping-particle":"","family":"Piñol","given":"Josep","non-dropping-particle":"","parse-names":false,"suffix":""},{"dropping-particle":"","family":"Senar","given":"Miquel A.","non-dropping-particle":"","parse-names":false,"suffix":""},{"dropping-particle":"","family":"Symondson","given":"William O. C.","non-dropping-particle":"","parse-names":false,"suffix":""}],"container-title":"Molecular Ecology","id":"ITEM-2","issue":"May","issued":{"date-parts":[["2019"]]},"page":"407– 419","title":"The choice of universal primers and the characteristics of the species mixture determines when DNA metabarcoding can be quantitative","type":"article-journal","volume":"28"},"uris":["http://www.mendeley.com/documents/?uuid=4f0d1695-ed8e-4d73-bf46-3f7eaa5b8710"]}],"mendeley":{"formattedCitation":"(Piñol, Mir, Gomez-Polo, &amp; Agustí, 2015; Piñol, Senar, &amp; Symondson, 2019)","plainTextFormattedCitation":"(Piñol, Mir, Gomez-Polo, &amp; Agustí, 2015; Piñol, Senar, &amp; Symondson, 2019)","previouslyFormattedCitation":"(Piñol, Mir, Gomez-Polo, &amp; Agustí, 2015; Piñol, Senar, &amp; Symondson, 2019)"},"properties":{"noteIndex":0},"schema":"https://github.com/citation-style-language/schema/raw/master/csl-citation.json"}</w:instrText>
      </w:r>
      <w:r w:rsidR="00F50D17" w:rsidRPr="00E33E6A">
        <w:rPr>
          <w:rFonts w:ascii="Lora" w:hAnsi="Lora"/>
          <w:sz w:val="22"/>
        </w:rPr>
        <w:fldChar w:fldCharType="separate"/>
      </w:r>
      <w:r w:rsidR="006A519B" w:rsidRPr="00E33E6A">
        <w:rPr>
          <w:rFonts w:ascii="Lora" w:hAnsi="Lora"/>
          <w:noProof/>
          <w:sz w:val="22"/>
        </w:rPr>
        <w:t>(Piñol, Mir, Gomez-Polo, &amp; Agustí, 2015; Piñol, Senar, &amp; Symondson, 2019)</w:t>
      </w:r>
      <w:r w:rsidR="00F50D17" w:rsidRPr="00E33E6A">
        <w:rPr>
          <w:rFonts w:ascii="Lora" w:hAnsi="Lora"/>
          <w:sz w:val="22"/>
        </w:rPr>
        <w:fldChar w:fldCharType="end"/>
      </w:r>
      <w:r w:rsidR="00F50D17" w:rsidRPr="00E33E6A">
        <w:rPr>
          <w:rFonts w:ascii="Lora" w:hAnsi="Lora"/>
          <w:sz w:val="22"/>
        </w:rPr>
        <w:t xml:space="preserve">. </w:t>
      </w:r>
      <w:r w:rsidR="00934A24" w:rsidRPr="00E33E6A">
        <w:rPr>
          <w:rFonts w:ascii="Lora" w:hAnsi="Lora"/>
          <w:sz w:val="22"/>
        </w:rPr>
        <w:t>To evaluate the primers for mismatch, a</w:t>
      </w:r>
      <w:r w:rsidR="00F50D17" w:rsidRPr="00E33E6A">
        <w:rPr>
          <w:rFonts w:ascii="Lora" w:hAnsi="Lora"/>
          <w:sz w:val="22"/>
        </w:rPr>
        <w:t xml:space="preserve"> mismatch score</w:t>
      </w:r>
      <w:r w:rsidR="00934A24" w:rsidRPr="00E33E6A">
        <w:rPr>
          <w:rFonts w:ascii="Lora" w:hAnsi="Lora"/>
          <w:sz w:val="22"/>
        </w:rPr>
        <w:t xml:space="preserve"> for each primer and insect family was derived </w:t>
      </w:r>
      <w:r w:rsidR="00A12B58" w:rsidRPr="00E33E6A">
        <w:rPr>
          <w:rFonts w:ascii="Lora" w:hAnsi="Lora"/>
          <w:sz w:val="22"/>
        </w:rPr>
        <w:t xml:space="preserve">using </w:t>
      </w:r>
      <w:r w:rsidR="00934A24" w:rsidRPr="00E33E6A">
        <w:rPr>
          <w:rFonts w:ascii="Lora" w:hAnsi="Lora"/>
          <w:sz w:val="22"/>
        </w:rPr>
        <w:t xml:space="preserve">the in-silico PCR function in </w:t>
      </w:r>
      <w:proofErr w:type="spellStart"/>
      <w:r w:rsidR="00A12B58" w:rsidRPr="00E33E6A">
        <w:rPr>
          <w:rFonts w:ascii="Lora" w:hAnsi="Lora"/>
          <w:sz w:val="22"/>
        </w:rPr>
        <w:t>PrimerMiner</w:t>
      </w:r>
      <w:proofErr w:type="spellEnd"/>
      <w:r w:rsidR="00A12B58" w:rsidRPr="00E33E6A">
        <w:rPr>
          <w:rFonts w:ascii="Lora" w:hAnsi="Lora"/>
          <w:sz w:val="22"/>
        </w:rPr>
        <w:t xml:space="preserve"> </w:t>
      </w:r>
      <w:r w:rsidR="00F50D17" w:rsidRPr="00E33E6A">
        <w:rPr>
          <w:rFonts w:ascii="Lora" w:hAnsi="Lora"/>
          <w:sz w:val="22"/>
        </w:rPr>
        <w:fldChar w:fldCharType="begin" w:fldLock="1"/>
      </w:r>
      <w:r w:rsidR="00C15DB6" w:rsidRPr="00E33E6A">
        <w:rPr>
          <w:rFonts w:ascii="Lora" w:hAnsi="Lora"/>
          <w:sz w:val="22"/>
        </w:rPr>
        <w:instrText>ADDIN CSL_CITATION {"citationItems":[{"id":"ITEM-1","itemData":{"DOI":"10.1111/2041-210X.12687","ISSN":"2041210X","abstract":"1) DNA metabarcoding is a powerful tool to assess biodiversity by amplifying and sequencing a standardized gene marker region. However, typically used barcoding genes, such as the cytochrome c oxidase subunit I (COI) region for animals, are highly variable. Thus, different taxa in communities under study are often no amplifed equally well and some might even remain undetected due to primer bias. To reduce these problems, optimized region- and/or ecosystem-specific metabarcoding primers are necessary. 2) We developed the R package, PrimerMiner, which batch downloads DNA barcode gene sequences from BOLD and NCBI databases for specified target taxa and then applies sequence slutering to reduce biases introduced by differed number of available sequences per species. To design primers targeted for freshwater invertebrates, we downloaded COI data for the 15 most important invertebrate groups relevant for stream ecosystem assessment. Four primer sets with high base degeneracy were developed and their performance tested by sequencing ten mock community samples constisting each of 52 freshwater invertebrate taxa. Adiditionally, we evaluated the developed primers against other metabarcoding primers in silico using PrimerMiner. 3) Amplification and sequcnign was succesful for all ten mock community samples with the four different primer combinations. The developed primers varied in amplification efficiency and amount of taxa detected, but all primer sets deteced more taxa than standard Folmer barcoding primers. Additionall, the BF/BR primers amplified taxa very consistently, the BF2+BR2 and BF2+BR1 primer combination even better than a previously tested ribosomal marker (16S). Except for the BF1 + BR1 primer combination, all BF/BR primers detected","author":[{"dropping-particle":"","family":"Elbrecht","given":"Vasco","non-dropping-particle":"","parse-names":false,"suffix":""},{"dropping-particle":"","family":"Leese","given":"Florian","non-dropping-particle":"","parse-names":false,"suffix":""}],"container-title":"Methods in Ecology and Evolution","id":"ITEM-1","issue":"5","issued":{"date-parts":[["2017"]]},"page":"622-626","title":"PrimerMiner: an r package for development and in silico validation of DNA metabarcoding primers","type":"article-journal","volume":"8"},"uris":["http://www.mendeley.com/documents/?uuid=2bb009cc-bb07-4455-9499-40551a1df64f"]}],"mendeley":{"formattedCitation":"(Elbrecht &amp; Leese, 2017a)","plainTextFormattedCitation":"(Elbrecht &amp; Leese, 2017a)","previouslyFormattedCitation":"(Elbrecht &amp; Leese, 2017a)"},"properties":{"noteIndex":0},"schema":"https://github.com/citation-style-language/schema/raw/master/csl-citation.json"}</w:instrText>
      </w:r>
      <w:r w:rsidR="00F50D17" w:rsidRPr="00E33E6A">
        <w:rPr>
          <w:rFonts w:ascii="Lora" w:hAnsi="Lora"/>
          <w:sz w:val="22"/>
        </w:rPr>
        <w:fldChar w:fldCharType="separate"/>
      </w:r>
      <w:r w:rsidR="00F50D17" w:rsidRPr="00E33E6A">
        <w:rPr>
          <w:rFonts w:ascii="Lora" w:hAnsi="Lora"/>
          <w:noProof/>
          <w:sz w:val="22"/>
        </w:rPr>
        <w:t>(Elbrecht &amp; Leese, 2017a)</w:t>
      </w:r>
      <w:r w:rsidR="00F50D17" w:rsidRPr="00E33E6A">
        <w:rPr>
          <w:rFonts w:ascii="Lora" w:hAnsi="Lora"/>
          <w:sz w:val="22"/>
        </w:rPr>
        <w:fldChar w:fldCharType="end"/>
      </w:r>
      <w:r w:rsidR="00A12B58" w:rsidRPr="00E33E6A">
        <w:rPr>
          <w:rFonts w:ascii="Lora" w:hAnsi="Lora"/>
          <w:sz w:val="22"/>
        </w:rPr>
        <w:t xml:space="preserve">. </w:t>
      </w:r>
      <w:r w:rsidR="00F50D17" w:rsidRPr="00E33E6A">
        <w:rPr>
          <w:rFonts w:ascii="Lora" w:hAnsi="Lora"/>
          <w:sz w:val="22"/>
        </w:rPr>
        <w:t xml:space="preserve">While highly degenerate primers reduce </w:t>
      </w:r>
      <w:r w:rsidR="00934A24" w:rsidRPr="00E33E6A">
        <w:rPr>
          <w:rFonts w:ascii="Lora" w:hAnsi="Lora"/>
          <w:sz w:val="22"/>
        </w:rPr>
        <w:t xml:space="preserve">primer-template mismatch </w:t>
      </w:r>
      <w:r w:rsidR="00F50D17" w:rsidRPr="00E33E6A">
        <w:rPr>
          <w:rFonts w:ascii="Lora" w:hAnsi="Lora"/>
          <w:sz w:val="22"/>
        </w:rPr>
        <w:t xml:space="preserve">and therefore perform well </w:t>
      </w:r>
      <w:r w:rsidR="00934A24" w:rsidRPr="00E33E6A">
        <w:rPr>
          <w:rFonts w:ascii="Lora" w:hAnsi="Lora"/>
          <w:sz w:val="22"/>
        </w:rPr>
        <w:t>for the above</w:t>
      </w:r>
      <w:r w:rsidR="00F50D17" w:rsidRPr="00E33E6A">
        <w:rPr>
          <w:rFonts w:ascii="Lora" w:hAnsi="Lora"/>
          <w:sz w:val="22"/>
        </w:rPr>
        <w:t xml:space="preserve"> measure, high degeneracy can also cause undesired off target amplification </w:t>
      </w:r>
      <w:r w:rsidR="00F50D17" w:rsidRPr="00E33E6A">
        <w:rPr>
          <w:rFonts w:ascii="Lora" w:hAnsi="Lora"/>
          <w:sz w:val="22"/>
        </w:rPr>
        <w:fldChar w:fldCharType="begin" w:fldLock="1"/>
      </w:r>
      <w:r w:rsidR="00F50D17" w:rsidRPr="00E33E6A">
        <w:rPr>
          <w:rFonts w:ascii="Lora" w:hAnsi="Lora"/>
          <w:sz w:val="22"/>
        </w:rPr>
        <w:instrText>ADDIN CSL_CITATION {"citationItems":[{"id":"ITEM-1","itemData":{"DOI":"10.1371/journal.pone.0199609","ISBN":"1111111111","ISSN":"1932-6203","abstract":"The cytochrome c oxidase subunit I (cox1) gene is the main mitochondrial molecular marker playing a pivotal role in phylogenetic research and is a crucial barcode sequence. Folmer’s “universal” primers designed to amplify this gene in metazoan invertebrates allowed quick and easy barcode and phylogenetic analysis. On the other hand, the increase in the number of studies on barcoding leads to more frequent publishing of incorrect sequences, due to amplification of non-target taxa, and insufficient analysis of the obtained sequences. Consequently, some sequences deposited in genetic databases are incorrectly described as obtained from invertebrates, while being in fact bacterial sequences. In our study, in which we used Folmer’s primers to amplify COI sequences of the crustacean fairy shrimp Branchipus schaefferi (Fischer 1834), we also obtained COI sequences of microbial contaminants from Aeromonas sp. However, when we searched the GenBank database for sequences closely matching these contaminations we found entries described as representatives of Gastrotricha and Mollusca. When these entries were compared with other sequences bearing the same names in the database, the genetic distance between the incorrect and correct sequences amplified from the same species was c.a. 65%. Although the responsibility for the correct molecular identification of species rests on researchers, the errors found in already published sequences data have not been re-evaluated so far. On the basis of the standard sampling technique we have estimated with 95% probability that the chances of finding incorrectly described metazoan sequences in the GenBank depend on the systematic group, and variety from less than 1% (Mollusca and Arthropoda) up to 6.9% (Gastrotricha). Consequently, the increasing popularity of DNA barcoding and metabarcoding analysis may lead to overestimation of species diversity. Finally, the study also discusses the sources of the problems with amplification of non-target sequences.","author":[{"dropping-particle":"","family":"Mioduchowska","given":"Monika","non-dropping-particle":"","parse-names":false,"suffix":""},{"dropping-particle":"","family":"Jan","given":"Michał","non-dropping-particle":"","parse-names":false,"suffix":""},{"dropping-particle":"","family":"Gołdyn","given":"Bartłomiej","non-dropping-particle":"","parse-names":false,"suffix":""},{"dropping-particle":"","family":"Kur","given":"Jarosław","non-dropping-particle":"","parse-names":false,"suffix":""},{"dropping-particle":"","family":"Sell","given":"Jerzy","non-dropping-particle":"","parse-names":false,"suffix":""}],"container-title":"Plos One","id":"ITEM-1","issue":"6","issued":{"date-parts":[["2018"]]},"page":"e0199609","title":"Instances of erroneous DNA barcoding of metazoan invertebrates: Are universal cox1 gene primers too “universal”?","type":"article-journal","volume":"13"},"uris":["http://www.mendeley.com/documents/?uuid=5a49a7c0-be71-4192-bfc4-0df20414e40d"]}],"mendeley":{"formattedCitation":"(Mioduchowska, Jan, Gołdyn, Kur, &amp; Sell, 2018)","plainTextFormattedCitation":"(Mioduchowska, Jan, Gołdyn, Kur, &amp; Sell, 2018)","previouslyFormattedCitation":"(Mioduchowska, Jan, Gołdyn, Kur, &amp; Sell, 2018)"},"properties":{"noteIndex":0},"schema":"https://github.com/citation-style-language/schema/raw/master/csl-citation.json"}</w:instrText>
      </w:r>
      <w:r w:rsidR="00F50D17" w:rsidRPr="00E33E6A">
        <w:rPr>
          <w:rFonts w:ascii="Lora" w:hAnsi="Lora"/>
          <w:sz w:val="22"/>
        </w:rPr>
        <w:fldChar w:fldCharType="separate"/>
      </w:r>
      <w:r w:rsidR="00F50D17" w:rsidRPr="00E33E6A">
        <w:rPr>
          <w:rFonts w:ascii="Lora" w:hAnsi="Lora"/>
          <w:noProof/>
          <w:sz w:val="22"/>
        </w:rPr>
        <w:t>(Mioduchowska, Jan, Gołdyn, Kur, &amp; Sell, 2018)</w:t>
      </w:r>
      <w:r w:rsidR="00F50D17" w:rsidRPr="00E33E6A">
        <w:rPr>
          <w:rFonts w:ascii="Lora" w:hAnsi="Lora"/>
          <w:sz w:val="22"/>
        </w:rPr>
        <w:fldChar w:fldCharType="end"/>
      </w:r>
      <w:r w:rsidR="00F50D17" w:rsidRPr="00E33E6A">
        <w:rPr>
          <w:rFonts w:ascii="Lora" w:hAnsi="Lora"/>
          <w:sz w:val="22"/>
        </w:rPr>
        <w:t xml:space="preserve">. </w:t>
      </w:r>
      <w:r w:rsidR="00A12B58" w:rsidRPr="00E33E6A">
        <w:rPr>
          <w:rFonts w:ascii="Lora" w:hAnsi="Lora"/>
          <w:sz w:val="22"/>
        </w:rPr>
        <w:t xml:space="preserve">To evaluate possible off-target effects of the primers, the primer tree </w:t>
      </w:r>
      <w:r w:rsidR="00F50D17" w:rsidRPr="00E33E6A">
        <w:rPr>
          <w:rFonts w:ascii="Lora" w:hAnsi="Lora"/>
          <w:sz w:val="22"/>
        </w:rPr>
        <w:t xml:space="preserve">R package </w:t>
      </w:r>
      <w:r w:rsidR="00F50D17" w:rsidRPr="00E33E6A">
        <w:rPr>
          <w:rFonts w:ascii="Lora" w:hAnsi="Lora"/>
          <w:sz w:val="22"/>
        </w:rPr>
        <w:fldChar w:fldCharType="begin" w:fldLock="1"/>
      </w:r>
      <w:r w:rsidR="00F50D17" w:rsidRPr="00E33E6A">
        <w:rPr>
          <w:rFonts w:ascii="Lora" w:hAnsi="Lora"/>
          <w:sz w:val="22"/>
        </w:rPr>
        <w:instrText>ADDIN CSL_CITATION {"citationItems":[{"id":"ITEM-1","itemData":{"DOI":"10.1038/srep22908","ISBN":"2045-2322 (Electronic)\\r2045-2322 (Linking)","ISSN":"20452322","PMID":"26965911","abstract":"Analysis of environmental DNA (eDNA) enables the detection of species of interest from water and soil samples, typically using species-specific PCR. Here, we describe a method to characterize the biodiversity of a given environment by amplifying eDNA using primer pairs targeting a wide range of taxa and high-throughput sequencing for species identification. We tested this approach on 91 water samples of 40 mL collected along the Cuyahoga River (Ohio, USA). We amplified eDNA using 12 primer pairs targeting mammals, fish, amphibians, birds, bryophytes, arthropods, copepods, plants and several microorganism taxa and sequenced all PCR products simultaneously by high-throughput sequencing. Overall, we identified DNA sequences from 15 species of fish, 17 species of mammals, 8 species of birds, 15 species of arthropods, one turtle and one salamander. Interestingly, in addition to aquatic and semi-aquatic animals, we identified DNA from terrestrial species that live near the Cuyahoga River. We also identified DNA from one Asian carp species invasive to the Great Lakes but that had not been previously reported in the Cuyahoga River. Our study shows that analysis of eDNA extracted from small water samples using wide-range PCR amplification combined with high-throughput sequencing can provide a broad perspective on biological diversity.","author":[{"dropping-particle":"V.","family":"Cannon","given":"M.","non-dropping-particle":"","parse-names":false,"suffix":""},{"dropping-particle":"","family":"Hester","given":"J.","non-dropping-particle":"","parse-names":false,"suffix":""},{"dropping-particle":"","family":"Shalkhauser","given":"A.","non-dropping-particle":"","parse-names":false,"suffix":""},{"dropping-particle":"","family":"Chan","given":"E. R.","non-dropping-particle":"","parse-names":false,"suffix":""},{"dropping-particle":"","family":"Logue","given":"K.","non-dropping-particle":"","parse-names":false,"suffix":""},{"dropping-particle":"","family":"Small","given":"S. T.","non-dropping-particle":"","parse-names":false,"suffix":""},{"dropping-particle":"","family":"Serre","given":"D.","non-dropping-particle":"","parse-names":false,"suffix":""}],"container-title":"Scientific Reports","id":"ITEM-1","issue":"December 2015","issued":{"date-parts":[["2016"]]},"page":"1-11","title":"In silico assessment of primers for eDNA studies using PrimerTree and application to characterize the biodiversity surrounding the Cuyahoga River","type":"article-journal","volume":"6"},"uris":["http://www.mendeley.com/documents/?uuid=88414577-a6a0-4af7-b3b9-5313bb33e662"]}],"mendeley":{"formattedCitation":"(Cannon et al., 2016)","plainTextFormattedCitation":"(Cannon et al., 2016)","previouslyFormattedCitation":"(Cannon et al., 2016)"},"properties":{"noteIndex":0},"schema":"https://github.com/citation-style-language/schema/raw/master/csl-citation.json"}</w:instrText>
      </w:r>
      <w:r w:rsidR="00F50D17" w:rsidRPr="00E33E6A">
        <w:rPr>
          <w:rFonts w:ascii="Lora" w:hAnsi="Lora"/>
          <w:sz w:val="22"/>
        </w:rPr>
        <w:fldChar w:fldCharType="separate"/>
      </w:r>
      <w:r w:rsidR="00F50D17" w:rsidRPr="00E33E6A">
        <w:rPr>
          <w:rFonts w:ascii="Lora" w:hAnsi="Lora"/>
          <w:noProof/>
          <w:sz w:val="22"/>
        </w:rPr>
        <w:t>(Cannon et al., 2016)</w:t>
      </w:r>
      <w:r w:rsidR="00F50D17" w:rsidRPr="00E33E6A">
        <w:rPr>
          <w:rFonts w:ascii="Lora" w:hAnsi="Lora"/>
          <w:sz w:val="22"/>
        </w:rPr>
        <w:fldChar w:fldCharType="end"/>
      </w:r>
      <w:r w:rsidR="00F50D17" w:rsidRPr="00E33E6A">
        <w:rPr>
          <w:rFonts w:ascii="Lora" w:hAnsi="Lora"/>
          <w:sz w:val="22"/>
        </w:rPr>
        <w:t xml:space="preserve"> </w:t>
      </w:r>
      <w:r w:rsidR="00A12B58" w:rsidRPr="00E33E6A">
        <w:rPr>
          <w:rFonts w:ascii="Lora" w:hAnsi="Lora"/>
          <w:sz w:val="22"/>
        </w:rPr>
        <w:t xml:space="preserve">was used to pick 1000 sequences at random from the trimmed </w:t>
      </w:r>
      <w:r w:rsidR="00F50D17" w:rsidRPr="00E33E6A">
        <w:rPr>
          <w:rFonts w:ascii="Lora" w:hAnsi="Lora"/>
          <w:sz w:val="22"/>
        </w:rPr>
        <w:t>datasets</w:t>
      </w:r>
      <w:r w:rsidR="00A12B58" w:rsidRPr="00E33E6A">
        <w:rPr>
          <w:rFonts w:ascii="Lora" w:hAnsi="Lora"/>
          <w:sz w:val="22"/>
        </w:rPr>
        <w:t xml:space="preserve"> for each primer set and conduct a primer blast against the </w:t>
      </w:r>
      <w:proofErr w:type="spellStart"/>
      <w:r w:rsidR="00A12B58" w:rsidRPr="00E33E6A">
        <w:rPr>
          <w:rFonts w:ascii="Lora" w:hAnsi="Lora"/>
          <w:sz w:val="22"/>
        </w:rPr>
        <w:t>ncbi</w:t>
      </w:r>
      <w:proofErr w:type="spellEnd"/>
      <w:r w:rsidR="00A12B58" w:rsidRPr="00E33E6A">
        <w:rPr>
          <w:rFonts w:ascii="Lora" w:hAnsi="Lora"/>
          <w:sz w:val="22"/>
        </w:rPr>
        <w:t xml:space="preserve"> </w:t>
      </w:r>
      <w:proofErr w:type="spellStart"/>
      <w:r w:rsidR="00A12B58" w:rsidRPr="00E33E6A">
        <w:rPr>
          <w:rFonts w:ascii="Lora" w:hAnsi="Lora"/>
          <w:sz w:val="22"/>
        </w:rPr>
        <w:t>nt</w:t>
      </w:r>
      <w:proofErr w:type="spellEnd"/>
      <w:r w:rsidR="00A12B58" w:rsidRPr="00E33E6A">
        <w:rPr>
          <w:rFonts w:ascii="Lora" w:hAnsi="Lora"/>
          <w:sz w:val="22"/>
        </w:rPr>
        <w:t xml:space="preserve"> database</w:t>
      </w:r>
      <w:r w:rsidR="00934A24" w:rsidRPr="00E33E6A">
        <w:rPr>
          <w:rFonts w:ascii="Lora" w:hAnsi="Lora"/>
          <w:sz w:val="22"/>
        </w:rPr>
        <w:t>, and neighbour joining trees were conducted to summarise the taxonomic scope of each primer</w:t>
      </w:r>
      <w:r w:rsidR="00A12B58" w:rsidRPr="00E33E6A">
        <w:rPr>
          <w:rFonts w:ascii="Lora" w:hAnsi="Lora"/>
          <w:sz w:val="22"/>
        </w:rPr>
        <w:t>.</w:t>
      </w:r>
    </w:p>
    <w:p w14:paraId="70B72692" w14:textId="6B241550" w:rsidR="00881D16" w:rsidRPr="00E33E6A" w:rsidRDefault="00881D16" w:rsidP="0016608D">
      <w:pPr>
        <w:pStyle w:val="Heading1"/>
        <w:spacing w:line="360" w:lineRule="auto"/>
        <w:rPr>
          <w:rFonts w:ascii="Lora" w:hAnsi="Lora"/>
          <w:b/>
          <w:sz w:val="22"/>
          <w:szCs w:val="22"/>
        </w:rPr>
      </w:pPr>
      <w:r w:rsidRPr="00E33E6A">
        <w:rPr>
          <w:rFonts w:ascii="Lora" w:hAnsi="Lora"/>
          <w:b/>
          <w:sz w:val="22"/>
          <w:szCs w:val="22"/>
        </w:rPr>
        <w:t>Results</w:t>
      </w:r>
    </w:p>
    <w:p w14:paraId="31BB5509" w14:textId="07CD99C3" w:rsidR="00881D16" w:rsidRPr="00E33E6A" w:rsidRDefault="00881D16" w:rsidP="0016608D">
      <w:pPr>
        <w:spacing w:line="360" w:lineRule="auto"/>
        <w:rPr>
          <w:rFonts w:ascii="Lora" w:hAnsi="Lora"/>
          <w:sz w:val="22"/>
        </w:rPr>
      </w:pPr>
      <w:r w:rsidRPr="00E33E6A">
        <w:rPr>
          <w:rFonts w:ascii="Lora" w:hAnsi="Lora"/>
          <w:sz w:val="22"/>
        </w:rPr>
        <w:t>Database assembly</w:t>
      </w:r>
    </w:p>
    <w:p w14:paraId="28C6EF69" w14:textId="64058384" w:rsidR="00881D16" w:rsidRPr="00E33E6A" w:rsidRDefault="00CF10E7" w:rsidP="0016608D">
      <w:pPr>
        <w:spacing w:line="360" w:lineRule="auto"/>
        <w:rPr>
          <w:rFonts w:ascii="Lora" w:hAnsi="Lora" w:cs="Arial"/>
          <w:color w:val="202124"/>
          <w:spacing w:val="2"/>
          <w:sz w:val="22"/>
          <w:shd w:val="clear" w:color="auto" w:fill="FFFFFF"/>
        </w:rPr>
      </w:pPr>
      <w:r w:rsidRPr="00E33E6A">
        <w:rPr>
          <w:rFonts w:ascii="Lora" w:hAnsi="Lora" w:cs="Arial"/>
          <w:color w:val="202124"/>
          <w:spacing w:val="2"/>
          <w:sz w:val="22"/>
          <w:shd w:val="clear" w:color="auto" w:fill="FFFFFF"/>
        </w:rPr>
        <w:t xml:space="preserve">In total, </w:t>
      </w:r>
      <w:r w:rsidRPr="00E33E6A">
        <w:rPr>
          <w:rFonts w:ascii="Lora" w:hAnsi="Lora" w:cs="Arial"/>
          <w:color w:val="202124"/>
          <w:spacing w:val="2"/>
          <w:sz w:val="22"/>
          <w:highlight w:val="yellow"/>
          <w:shd w:val="clear" w:color="auto" w:fill="FFFFFF"/>
        </w:rPr>
        <w:t>n</w:t>
      </w:r>
      <w:r w:rsidRPr="00E33E6A">
        <w:rPr>
          <w:rFonts w:ascii="Lora" w:hAnsi="Lora" w:cs="Arial"/>
          <w:color w:val="202124"/>
          <w:spacing w:val="2"/>
          <w:sz w:val="22"/>
          <w:shd w:val="clear" w:color="auto" w:fill="FFFFFF"/>
        </w:rPr>
        <w:t xml:space="preserve"> unique taxa were retrieved </w:t>
      </w:r>
      <w:r w:rsidR="00373873" w:rsidRPr="00E33E6A">
        <w:rPr>
          <w:rFonts w:ascii="Lora" w:hAnsi="Lora" w:cs="Arial"/>
          <w:color w:val="202124"/>
          <w:spacing w:val="2"/>
          <w:sz w:val="22"/>
          <w:shd w:val="clear" w:color="auto" w:fill="FFFFFF"/>
        </w:rPr>
        <w:t xml:space="preserve">from databases (supplementary fig 1) and following filtering </w:t>
      </w:r>
      <w:r w:rsidR="00373873" w:rsidRPr="00E33E6A">
        <w:rPr>
          <w:rFonts w:ascii="Lora" w:hAnsi="Lora" w:cs="Arial"/>
          <w:color w:val="202124"/>
          <w:spacing w:val="2"/>
          <w:sz w:val="22"/>
          <w:highlight w:val="yellow"/>
          <w:shd w:val="clear" w:color="auto" w:fill="FFFFFF"/>
        </w:rPr>
        <w:t>n</w:t>
      </w:r>
      <w:r w:rsidR="00373873" w:rsidRPr="00E33E6A">
        <w:rPr>
          <w:rFonts w:ascii="Lora" w:hAnsi="Lora" w:cs="Arial"/>
          <w:color w:val="202124"/>
          <w:spacing w:val="2"/>
          <w:sz w:val="22"/>
          <w:shd w:val="clear" w:color="auto" w:fill="FFFFFF"/>
        </w:rPr>
        <w:t xml:space="preserve"> unique species across </w:t>
      </w:r>
      <w:r w:rsidR="00373873" w:rsidRPr="00E33E6A">
        <w:rPr>
          <w:rFonts w:ascii="Lora" w:hAnsi="Lora" w:cs="Arial"/>
          <w:color w:val="202124"/>
          <w:spacing w:val="2"/>
          <w:sz w:val="22"/>
          <w:highlight w:val="yellow"/>
          <w:shd w:val="clear" w:color="auto" w:fill="FFFFFF"/>
        </w:rPr>
        <w:t>n</w:t>
      </w:r>
      <w:r w:rsidR="00373873" w:rsidRPr="00E33E6A">
        <w:rPr>
          <w:rFonts w:ascii="Lora" w:hAnsi="Lora" w:cs="Arial"/>
          <w:color w:val="202124"/>
          <w:spacing w:val="2"/>
          <w:sz w:val="22"/>
          <w:shd w:val="clear" w:color="auto" w:fill="FFFFFF"/>
        </w:rPr>
        <w:t xml:space="preserve"> families and </w:t>
      </w:r>
      <w:r w:rsidR="00373873" w:rsidRPr="00E33E6A">
        <w:rPr>
          <w:rFonts w:ascii="Lora" w:hAnsi="Lora" w:cs="Arial"/>
          <w:color w:val="202124"/>
          <w:spacing w:val="2"/>
          <w:sz w:val="22"/>
          <w:highlight w:val="yellow"/>
          <w:shd w:val="clear" w:color="auto" w:fill="FFFFFF"/>
        </w:rPr>
        <w:t>n</w:t>
      </w:r>
      <w:r w:rsidR="00373873" w:rsidRPr="00E33E6A">
        <w:rPr>
          <w:rFonts w:ascii="Lora" w:hAnsi="Lora" w:cs="Arial"/>
          <w:color w:val="202124"/>
          <w:spacing w:val="2"/>
          <w:sz w:val="22"/>
          <w:shd w:val="clear" w:color="auto" w:fill="FFFFFF"/>
        </w:rPr>
        <w:t xml:space="preserve"> orders were retained. All sequences for these families were retrieved from bold and </w:t>
      </w:r>
      <w:proofErr w:type="spellStart"/>
      <w:r w:rsidR="00373873" w:rsidRPr="00E33E6A">
        <w:rPr>
          <w:rFonts w:ascii="Lora" w:hAnsi="Lora" w:cs="Arial"/>
          <w:color w:val="202124"/>
          <w:spacing w:val="2"/>
          <w:sz w:val="22"/>
          <w:shd w:val="clear" w:color="auto" w:fill="FFFFFF"/>
        </w:rPr>
        <w:t>genbank</w:t>
      </w:r>
      <w:proofErr w:type="spellEnd"/>
      <w:r w:rsidR="00373873" w:rsidRPr="00E33E6A">
        <w:rPr>
          <w:rFonts w:ascii="Lora" w:hAnsi="Lora" w:cs="Arial"/>
          <w:color w:val="202124"/>
          <w:spacing w:val="2"/>
          <w:sz w:val="22"/>
          <w:shd w:val="clear" w:color="auto" w:fill="FFFFFF"/>
        </w:rPr>
        <w:t xml:space="preserve">, for a total of </w:t>
      </w:r>
      <w:r w:rsidR="00373873" w:rsidRPr="00E33E6A">
        <w:rPr>
          <w:rFonts w:ascii="Lora" w:hAnsi="Lora" w:cs="Arial"/>
          <w:color w:val="202124"/>
          <w:spacing w:val="2"/>
          <w:sz w:val="22"/>
          <w:highlight w:val="yellow"/>
          <w:shd w:val="clear" w:color="auto" w:fill="FFFFFF"/>
        </w:rPr>
        <w:t>n</w:t>
      </w:r>
      <w:r w:rsidR="00373873" w:rsidRPr="00E33E6A">
        <w:rPr>
          <w:rFonts w:ascii="Lora" w:hAnsi="Lora" w:cs="Arial"/>
          <w:color w:val="202124"/>
          <w:spacing w:val="2"/>
          <w:sz w:val="22"/>
          <w:shd w:val="clear" w:color="auto" w:fill="FFFFFF"/>
        </w:rPr>
        <w:t xml:space="preserve"> and </w:t>
      </w:r>
      <w:r w:rsidR="00373873" w:rsidRPr="00E33E6A">
        <w:rPr>
          <w:rFonts w:ascii="Lora" w:hAnsi="Lora" w:cs="Arial"/>
          <w:color w:val="202124"/>
          <w:spacing w:val="2"/>
          <w:sz w:val="22"/>
          <w:highlight w:val="yellow"/>
          <w:shd w:val="clear" w:color="auto" w:fill="FFFFFF"/>
        </w:rPr>
        <w:t>n</w:t>
      </w:r>
      <w:r w:rsidR="00373873" w:rsidRPr="00E33E6A">
        <w:rPr>
          <w:rFonts w:ascii="Lora" w:hAnsi="Lora" w:cs="Arial"/>
          <w:color w:val="202124"/>
          <w:spacing w:val="2"/>
          <w:sz w:val="22"/>
          <w:shd w:val="clear" w:color="auto" w:fill="FFFFFF"/>
        </w:rPr>
        <w:t xml:space="preserve"> sequences respectively. </w:t>
      </w:r>
      <w:r w:rsidR="003C24A7" w:rsidRPr="00E33E6A">
        <w:rPr>
          <w:rFonts w:ascii="Lora" w:hAnsi="Lora" w:cs="Arial"/>
          <w:color w:val="202124"/>
          <w:spacing w:val="2"/>
          <w:sz w:val="22"/>
          <w:shd w:val="clear" w:color="auto" w:fill="FFFFFF"/>
        </w:rPr>
        <w:t xml:space="preserve"> </w:t>
      </w:r>
      <w:r w:rsidR="00373873" w:rsidRPr="00E33E6A">
        <w:rPr>
          <w:rFonts w:ascii="Lora" w:hAnsi="Lora" w:cs="Arial"/>
          <w:color w:val="202124"/>
          <w:spacing w:val="2"/>
          <w:sz w:val="22"/>
          <w:shd w:val="clear" w:color="auto" w:fill="FFFFFF"/>
        </w:rPr>
        <w:t xml:space="preserve">Following all stages of filtering, a total of n sequences </w:t>
      </w:r>
      <w:proofErr w:type="gramStart"/>
      <w:r w:rsidR="00373873" w:rsidRPr="00E33E6A">
        <w:rPr>
          <w:rFonts w:ascii="Lora" w:hAnsi="Lora" w:cs="Arial"/>
          <w:color w:val="202124"/>
          <w:spacing w:val="2"/>
          <w:sz w:val="22"/>
          <w:shd w:val="clear" w:color="auto" w:fill="FFFFFF"/>
        </w:rPr>
        <w:t>were</w:t>
      </w:r>
      <w:proofErr w:type="gramEnd"/>
      <w:r w:rsidR="00373873" w:rsidRPr="00E33E6A">
        <w:rPr>
          <w:rFonts w:ascii="Lora" w:hAnsi="Lora" w:cs="Arial"/>
          <w:color w:val="202124"/>
          <w:spacing w:val="2"/>
          <w:sz w:val="22"/>
          <w:shd w:val="clear" w:color="auto" w:fill="FFFFFF"/>
        </w:rPr>
        <w:t xml:space="preserve"> retained.</w:t>
      </w:r>
    </w:p>
    <w:p w14:paraId="62B9C6DC" w14:textId="77777777" w:rsidR="00881D16" w:rsidRPr="00E33E6A" w:rsidRDefault="00881D16" w:rsidP="0016608D">
      <w:pPr>
        <w:spacing w:after="160" w:line="360" w:lineRule="auto"/>
        <w:rPr>
          <w:rFonts w:ascii="Lora" w:hAnsi="Lora"/>
          <w:i/>
          <w:sz w:val="22"/>
        </w:rPr>
      </w:pPr>
      <w:r w:rsidRPr="00E33E6A">
        <w:rPr>
          <w:rFonts w:ascii="Lora" w:hAnsi="Lora"/>
          <w:i/>
          <w:sz w:val="22"/>
        </w:rPr>
        <w:t>Identifying optimal diagnostic windows</w:t>
      </w:r>
    </w:p>
    <w:p w14:paraId="67DE89CD" w14:textId="60C2C03D" w:rsidR="008E0B5A" w:rsidRPr="00E33E6A" w:rsidRDefault="00497A38" w:rsidP="0016608D">
      <w:pPr>
        <w:spacing w:line="360" w:lineRule="auto"/>
        <w:rPr>
          <w:rFonts w:ascii="Lora" w:hAnsi="Lora" w:cs="Arial"/>
          <w:color w:val="202124"/>
          <w:spacing w:val="2"/>
          <w:sz w:val="22"/>
          <w:shd w:val="clear" w:color="auto" w:fill="FFFFFF"/>
        </w:rPr>
      </w:pPr>
      <w:r w:rsidRPr="00E33E6A">
        <w:rPr>
          <w:rFonts w:ascii="Lora" w:hAnsi="Lora" w:cs="Arial"/>
          <w:color w:val="202124"/>
          <w:spacing w:val="2"/>
          <w:sz w:val="22"/>
          <w:shd w:val="clear" w:color="auto" w:fill="FFFFFF"/>
        </w:rPr>
        <w:t xml:space="preserve">220bp sliding window analysis of diagnostic nucleotides proportion of monophyletic trees identified 2 regions located 255-475bp and 340-560bp into the </w:t>
      </w:r>
      <w:proofErr w:type="spellStart"/>
      <w:r w:rsidRPr="00E33E6A">
        <w:rPr>
          <w:rFonts w:ascii="Lora" w:hAnsi="Lora" w:cs="Arial"/>
          <w:color w:val="202124"/>
          <w:spacing w:val="2"/>
          <w:sz w:val="22"/>
          <w:shd w:val="clear" w:color="auto" w:fill="FFFFFF"/>
        </w:rPr>
        <w:t>folmer</w:t>
      </w:r>
      <w:proofErr w:type="spellEnd"/>
      <w:r w:rsidRPr="00E33E6A">
        <w:rPr>
          <w:rFonts w:ascii="Lora" w:hAnsi="Lora" w:cs="Arial"/>
          <w:color w:val="202124"/>
          <w:spacing w:val="2"/>
          <w:sz w:val="22"/>
          <w:shd w:val="clear" w:color="auto" w:fill="FFFFFF"/>
        </w:rPr>
        <w:t xml:space="preserve"> DNA barcode region for which the highest density of top 10 ranked windows for all families on the pest list occurred. A range of published primers overlapping these regions were retrieved from the </w:t>
      </w:r>
      <w:proofErr w:type="gramStart"/>
      <w:r w:rsidRPr="00E33E6A">
        <w:rPr>
          <w:rFonts w:ascii="Lora" w:hAnsi="Lora" w:cs="Arial"/>
          <w:color w:val="202124"/>
          <w:spacing w:val="2"/>
          <w:sz w:val="22"/>
          <w:shd w:val="clear" w:color="auto" w:fill="FFFFFF"/>
        </w:rPr>
        <w:t>literature, and</w:t>
      </w:r>
      <w:proofErr w:type="gramEnd"/>
      <w:r w:rsidRPr="00E33E6A">
        <w:rPr>
          <w:rFonts w:ascii="Lora" w:hAnsi="Lora" w:cs="Arial"/>
          <w:color w:val="202124"/>
          <w:spacing w:val="2"/>
          <w:sz w:val="22"/>
          <w:shd w:val="clear" w:color="auto" w:fill="FFFFFF"/>
        </w:rPr>
        <w:t xml:space="preserve"> supplemented with novel primers (Table 1).</w:t>
      </w:r>
    </w:p>
    <w:p w14:paraId="614F1171" w14:textId="77777777" w:rsidR="00497A38" w:rsidRPr="00E33E6A" w:rsidRDefault="00497A38" w:rsidP="00497A38">
      <w:pPr>
        <w:spacing w:line="360" w:lineRule="auto"/>
        <w:rPr>
          <w:rFonts w:ascii="Lora" w:hAnsi="Lora"/>
          <w:sz w:val="22"/>
        </w:rPr>
      </w:pPr>
      <w:r w:rsidRPr="00E33E6A">
        <w:rPr>
          <w:rFonts w:ascii="Lora" w:hAnsi="Lora"/>
          <w:i/>
          <w:sz w:val="22"/>
        </w:rPr>
        <w:t>Evaluation of primer sets</w:t>
      </w:r>
    </w:p>
    <w:p w14:paraId="20717008" w14:textId="3D3EB6A1" w:rsidR="00497A38" w:rsidRPr="00E33E6A" w:rsidRDefault="00497A38" w:rsidP="00CB324B">
      <w:pPr>
        <w:spacing w:after="160" w:line="360" w:lineRule="auto"/>
        <w:rPr>
          <w:rFonts w:ascii="Lora" w:hAnsi="Lora"/>
          <w:sz w:val="22"/>
        </w:rPr>
      </w:pPr>
      <w:r w:rsidRPr="00E33E6A">
        <w:rPr>
          <w:rFonts w:ascii="Lora" w:hAnsi="Lora"/>
          <w:sz w:val="22"/>
        </w:rPr>
        <w:lastRenderedPageBreak/>
        <w:t xml:space="preserve">All primer pairs showed comparable resolution across the, </w:t>
      </w:r>
      <w:proofErr w:type="gramStart"/>
      <w:r w:rsidRPr="00E33E6A">
        <w:rPr>
          <w:rFonts w:ascii="Lora" w:hAnsi="Lora"/>
          <w:sz w:val="22"/>
        </w:rPr>
        <w:t>with the exception of</w:t>
      </w:r>
      <w:proofErr w:type="gramEnd"/>
      <w:r w:rsidRPr="00E33E6A">
        <w:rPr>
          <w:rFonts w:ascii="Lora" w:hAnsi="Lora"/>
          <w:sz w:val="22"/>
        </w:rPr>
        <w:t xml:space="preserve"> the BF1-AgpestR2 primer</w:t>
      </w:r>
      <w:r w:rsidR="00BC1250" w:rsidRPr="00E33E6A">
        <w:rPr>
          <w:rFonts w:ascii="Lora" w:hAnsi="Lora"/>
          <w:sz w:val="22"/>
        </w:rPr>
        <w:t xml:space="preserve"> (Figure 2). For all those that failed, generally the result of synonyms and indicate the need for curation of synonyms in reference sequence databases. When taxonomic synonyms were corrected for, the large majority of remaining failed to differentiate taxa came from the family </w:t>
      </w:r>
      <w:proofErr w:type="spellStart"/>
      <w:r w:rsidR="00CB324B" w:rsidRPr="00E33E6A">
        <w:rPr>
          <w:rFonts w:ascii="Lora" w:hAnsi="Lora"/>
          <w:sz w:val="22"/>
        </w:rPr>
        <w:t>T</w:t>
      </w:r>
      <w:r w:rsidR="00BC1250" w:rsidRPr="00E33E6A">
        <w:rPr>
          <w:rFonts w:ascii="Lora" w:hAnsi="Lora"/>
          <w:sz w:val="22"/>
        </w:rPr>
        <w:t>ephritidae</w:t>
      </w:r>
      <w:proofErr w:type="spellEnd"/>
      <w:r w:rsidR="00BC1250" w:rsidRPr="00E33E6A">
        <w:rPr>
          <w:rFonts w:ascii="Lora" w:hAnsi="Lora"/>
          <w:sz w:val="22"/>
        </w:rPr>
        <w:t xml:space="preserve">, for which the full DNA barcode region also struggles with </w:t>
      </w:r>
      <w:r w:rsidR="00BC1250" w:rsidRPr="00E33E6A">
        <w:rPr>
          <w:rFonts w:ascii="Lora" w:hAnsi="Lora"/>
          <w:sz w:val="22"/>
        </w:rPr>
        <w:fldChar w:fldCharType="begin" w:fldLock="1"/>
      </w:r>
      <w:r w:rsidR="001F6AD2" w:rsidRPr="00E33E6A">
        <w:rPr>
          <w:rFonts w:ascii="Lora" w:hAnsi="Lora"/>
          <w:sz w:val="22"/>
        </w:rPr>
        <w:instrText>ADDIN CSL_CITATION {"citationItems":[{"id":"ITEM-1","itemData":{"DOI":"10.1111/aen.12321","ISBN":"2052-1758","ISSN":"20521758","abstract":"Development of novel molecular methods for accurate and economical identification of species has become critical both for pure biological research and a wide range of applied areas. The most widely used current molecular diagnostic tool, the mitochondrial cytochrome c oxidase subunit 1 gene (COI), the so-called {`}DNA barcode{'}, has been highly criticised and is known to be ineffective at distinguishing species in many groups. Alternative markers are needed to circumvent these issues and provide diagnosticians with a greater range of tools for making accurate identifications. To address this, we describe here a novel analytical workflow for diagnostic marker development that utilises near-genomic scale data to search for potential informative loci. The workflow takes advantage of orthologous gene databases, in combination with tests of phylogenetic resolution, and benchmarking of nucleotide variation against COI, to determine putative loci that might outperform COI. We use transcriptomes of 14 tephritid fruit flies, and especially the taxonomically complex genus Bactrocera, as a case study. Of 1646 orthologs searched, our workflow retained a total of five loci following our conservative filtering strategy. One locus, POP4, had strong potential as a novel diagnostic marker for Bactrocera fruit flies. POP4 discriminates most species in the training set of taxa, but like COI fails to separate the sibling species B. tryoni and B. neohumeralis. Further validation of this potential new marker against a broader taxonomic sample is ongoing. We advocate that this simple and efficient workflow is, with minor modification, customisable for diagnostic development in almost any taxonomic group.","author":[{"dropping-particle":"","family":"Krosch","given":"Matt N.","non-dropping-particle":"","parse-names":false,"suffix":""},{"dropping-particle":"","family":"Schutze","given":"Mark K.","non-dropping-particle":"","parse-names":false,"suffix":""},{"dropping-particle":"","family":"Strutt","given":"Francesca","non-dropping-particle":"","parse-names":false,"suffix":""},{"dropping-particle":"","family":"Clarke","given":"Anthony R.","non-dropping-particle":"","parse-names":false,"suffix":""},{"dropping-particle":"","family":"Cameron","given":"Stephen L.","non-dropping-particle":"","parse-names":false,"suffix":""}],"container-title":"Austral Entomology","id":"ITEM-1","issued":{"date-parts":[["2017"]]},"page":"395– 408","title":"A transcriptome-based analytical workflow for identifying loci for species diagnosis: A case study with Bactrocera fruit flies (Diptera: Tephritidae)","type":"article-journal","volume":"58"},"uris":["http://www.mendeley.com/documents/?uuid=961da2a0-4440-4b0a-9c13-f42141cd47b6"]},{"id":"ITEM-2","itemData":{"DOI":"10.1111/1755-0998.12259","ISBN":"1755-0998","ISSN":"17550998","PMID":"24690386","abstract":"Fruit flies in the family Tephritidae are the economically important pests that have many species complexes. DNA barcoding has gradually been verified as an effective tool for identifying species in a wide range of taxonomic groups, and there are several publications on rapid and accurate identification of fruit flies based on this technique; however, comprehensive analyses of large and new taxa for the effectiveness of DNA barcoding for fruit flies identification have been rare. In this study, we evaluated the COI barcode sequences for the diagnosis of fruit flies using 1426 sequences for 73 species of Bactrocera distributed worldwide. Tree-based [neighbour-joining (NJ)]; distance-based, such as Best Match (BM), Best Close Match (BCM) and Minimum Distance (MD); and character-based methods were used to evaluate the barcoding success rates obtained with maintaining the species complex in the data set, treating a species complex as a single taxon unit, and removing the species complex. Our results indicate that the average divergence between species was 14.04% (0.00–25.16%), whereas within a species this was 0.81% (0.00–9.71%); the existence of species complexes largely reduced the barcoding success for Tephritidae, for example relatively low success rates (74.4% based on BM and BCM and 84.8% based on MD) were obtained when the sequences from species complexes were included in the analysis, whereas significantly higher success rates were achieved if the species complexes were treated as a single taxon or removed from the data set – BM (98.9%), BCM (98.5%) and MD (97.5%), or BM (98.1%), BCM (97.4%) and MD (98.2%).","author":[{"dropping-particle":"","family":"Jiang","given":"F","non-dropping-particle":"","parse-names":false,"suffix":""},{"dropping-particle":"","family":"Jin","given":"Q","non-dropping-particle":"","parse-names":false,"suffix":""},{"dropping-particle":"","family":"Liang","given":"L","non-dropping-particle":"","parse-names":false,"suffix":""},{"dropping-particle":"","family":"Zhang","given":"A. B.","non-dropping-particle":"","parse-names":false,"suffix":""},{"dropping-particle":"","family":"Li","given":"Z. H.","non-dropping-particle":"","parse-names":false,"suffix":""}],"container-title":"Molecular Ecology Resources","id":"ITEM-2","issue":"6","issued":{"date-parts":[["2014"]]},"page":"1114-1128","title":"Existence of species complex largely reduced barcoding success for invasive species of Tephritidae: A case study in Bactrocera spp.","type":"article-journal","volume":"14"},"uris":["http://www.mendeley.com/documents/?uuid=77dba9b5-3302-449c-9aee-7288fafb5d30"]}],"mendeley":{"formattedCitation":"(Jiang, Jin, Liang, Zhang, &amp; Li, 2014; Krosch, Schutze, Strutt, Clarke, &amp; Cameron, 2017)","plainTextFormattedCitation":"(Jiang, Jin, Liang, Zhang, &amp; Li, 2014; Krosch, Schutze, Strutt, Clarke, &amp; Cameron, 2017)","previouslyFormattedCitation":"(Jiang, Jin, Liang, Zhang, &amp; Li, 2014; Krosch, Schutze, Strutt, Clarke, &amp; Cameron, 2017)"},"properties":{"noteIndex":0},"schema":"https://github.com/citation-style-language/schema/raw/master/csl-citation.json"}</w:instrText>
      </w:r>
      <w:r w:rsidR="00BC1250" w:rsidRPr="00E33E6A">
        <w:rPr>
          <w:rFonts w:ascii="Lora" w:hAnsi="Lora"/>
          <w:sz w:val="22"/>
        </w:rPr>
        <w:fldChar w:fldCharType="separate"/>
      </w:r>
      <w:r w:rsidR="00BC1250" w:rsidRPr="00E33E6A">
        <w:rPr>
          <w:rFonts w:ascii="Lora" w:hAnsi="Lora"/>
          <w:noProof/>
          <w:sz w:val="22"/>
        </w:rPr>
        <w:t>(Jiang, Jin, Liang, Zhang, &amp; Li, 2014; Krosch, Schutze, Strutt, Clarke, &amp; Cameron, 2017)</w:t>
      </w:r>
      <w:r w:rsidR="00BC1250" w:rsidRPr="00E33E6A">
        <w:rPr>
          <w:rFonts w:ascii="Lora" w:hAnsi="Lora"/>
          <w:sz w:val="22"/>
        </w:rPr>
        <w:fldChar w:fldCharType="end"/>
      </w:r>
      <w:r w:rsidR="00BC1250" w:rsidRPr="00E33E6A">
        <w:rPr>
          <w:rFonts w:ascii="Lora" w:hAnsi="Lora"/>
          <w:sz w:val="22"/>
        </w:rPr>
        <w:t>.</w:t>
      </w:r>
      <w:r w:rsidR="001F6AD2" w:rsidRPr="00E33E6A">
        <w:rPr>
          <w:rFonts w:ascii="Lora" w:hAnsi="Lora"/>
          <w:sz w:val="22"/>
        </w:rPr>
        <w:t xml:space="preserve"> </w:t>
      </w:r>
    </w:p>
    <w:p w14:paraId="3D346A8F" w14:textId="2A4BB3FA" w:rsidR="00A432FB" w:rsidRPr="00A432FB" w:rsidRDefault="00A432FB" w:rsidP="00A17066">
      <w:pPr>
        <w:spacing w:after="160" w:line="360" w:lineRule="auto"/>
        <w:rPr>
          <w:rFonts w:ascii="Lora" w:hAnsi="Lora"/>
          <w:b/>
          <w:sz w:val="22"/>
        </w:rPr>
      </w:pPr>
      <w:r w:rsidRPr="00A432FB">
        <w:rPr>
          <w:rFonts w:ascii="Lora" w:hAnsi="Lora"/>
          <w:b/>
          <w:sz w:val="22"/>
        </w:rPr>
        <w:t>Discussion</w:t>
      </w:r>
    </w:p>
    <w:p w14:paraId="50F0E4E9" w14:textId="448A0D07" w:rsidR="00A432FB" w:rsidRDefault="00A432FB" w:rsidP="00A432FB">
      <w:pPr>
        <w:pStyle w:val="ListParagraph"/>
        <w:numPr>
          <w:ilvl w:val="0"/>
          <w:numId w:val="12"/>
        </w:numPr>
        <w:spacing w:after="160" w:line="360" w:lineRule="auto"/>
        <w:rPr>
          <w:rFonts w:ascii="Lora" w:hAnsi="Lora"/>
          <w:sz w:val="22"/>
        </w:rPr>
      </w:pPr>
      <w:r>
        <w:rPr>
          <w:rFonts w:ascii="Lora" w:hAnsi="Lora"/>
          <w:sz w:val="22"/>
        </w:rPr>
        <w:t>Mini barcodes can successfully differentiate the majority of insect pests</w:t>
      </w:r>
    </w:p>
    <w:p w14:paraId="7F229809" w14:textId="0EBB82F6" w:rsidR="00A432FB" w:rsidRDefault="00A432FB" w:rsidP="00A432FB">
      <w:pPr>
        <w:pStyle w:val="ListParagraph"/>
        <w:numPr>
          <w:ilvl w:val="0"/>
          <w:numId w:val="12"/>
        </w:numPr>
        <w:spacing w:after="160" w:line="360" w:lineRule="auto"/>
        <w:rPr>
          <w:rFonts w:ascii="Lora" w:hAnsi="Lora"/>
          <w:sz w:val="22"/>
        </w:rPr>
      </w:pPr>
      <w:r>
        <w:rPr>
          <w:rFonts w:ascii="Lora" w:hAnsi="Lora"/>
          <w:sz w:val="22"/>
        </w:rPr>
        <w:t xml:space="preserve">Those that could not be differentiated by </w:t>
      </w:r>
      <w:proofErr w:type="gramStart"/>
      <w:r>
        <w:rPr>
          <w:rFonts w:ascii="Lora" w:hAnsi="Lora"/>
          <w:sz w:val="22"/>
        </w:rPr>
        <w:t>mini-barcodes</w:t>
      </w:r>
      <w:proofErr w:type="gramEnd"/>
      <w:r>
        <w:rPr>
          <w:rFonts w:ascii="Lora" w:hAnsi="Lora"/>
          <w:sz w:val="22"/>
        </w:rPr>
        <w:t xml:space="preserve"> were in classic problem group</w:t>
      </w:r>
      <w:r w:rsidR="00A91AD2">
        <w:rPr>
          <w:rFonts w:ascii="Lora" w:hAnsi="Lora"/>
          <w:sz w:val="22"/>
        </w:rPr>
        <w:t>s and problems with taxonomy</w:t>
      </w:r>
    </w:p>
    <w:p w14:paraId="41618E38" w14:textId="66D212F9" w:rsidR="003E7E3D" w:rsidRDefault="003E7E3D" w:rsidP="003E7E3D">
      <w:pPr>
        <w:pStyle w:val="ListParagraph"/>
        <w:numPr>
          <w:ilvl w:val="0"/>
          <w:numId w:val="12"/>
        </w:numPr>
        <w:spacing w:after="160" w:line="360" w:lineRule="auto"/>
        <w:rPr>
          <w:rFonts w:ascii="Lora" w:hAnsi="Lora"/>
          <w:sz w:val="22"/>
        </w:rPr>
      </w:pPr>
      <w:r>
        <w:rPr>
          <w:rFonts w:ascii="Lora" w:hAnsi="Lora"/>
          <w:sz w:val="22"/>
        </w:rPr>
        <w:t xml:space="preserve">Limitations, we haven’t tested new long read </w:t>
      </w:r>
      <w:proofErr w:type="spellStart"/>
      <w:r>
        <w:rPr>
          <w:rFonts w:ascii="Lora" w:hAnsi="Lora"/>
          <w:sz w:val="22"/>
        </w:rPr>
        <w:t>sequenceing</w:t>
      </w:r>
      <w:proofErr w:type="spellEnd"/>
      <w:r>
        <w:rPr>
          <w:rFonts w:ascii="Lora" w:hAnsi="Lora"/>
          <w:sz w:val="22"/>
        </w:rPr>
        <w:t>, and sequencing of the full mitochondria might be useful</w:t>
      </w:r>
    </w:p>
    <w:p w14:paraId="242ED4F8" w14:textId="53902C9E" w:rsidR="003E7E3D" w:rsidRDefault="003E7E3D" w:rsidP="003E7E3D">
      <w:pPr>
        <w:pStyle w:val="ListParagraph"/>
        <w:numPr>
          <w:ilvl w:val="0"/>
          <w:numId w:val="12"/>
        </w:numPr>
        <w:spacing w:after="160" w:line="360" w:lineRule="auto"/>
        <w:rPr>
          <w:rFonts w:ascii="Lora" w:hAnsi="Lora"/>
          <w:sz w:val="22"/>
        </w:rPr>
      </w:pPr>
      <w:r>
        <w:rPr>
          <w:rFonts w:ascii="Lora" w:hAnsi="Lora"/>
          <w:sz w:val="22"/>
        </w:rPr>
        <w:t>While this would necessitate running the analysis again for new primers, we have now defined a process for evaluation</w:t>
      </w:r>
    </w:p>
    <w:p w14:paraId="5D0C9E6F" w14:textId="3BA1205C" w:rsidR="003E7E3D" w:rsidRPr="003E7E3D" w:rsidRDefault="003E7E3D" w:rsidP="003E7E3D">
      <w:pPr>
        <w:pStyle w:val="ListParagraph"/>
        <w:numPr>
          <w:ilvl w:val="0"/>
          <w:numId w:val="12"/>
        </w:numPr>
        <w:spacing w:after="160" w:line="360" w:lineRule="auto"/>
        <w:rPr>
          <w:rFonts w:ascii="Lora" w:hAnsi="Lora"/>
          <w:sz w:val="22"/>
        </w:rPr>
      </w:pPr>
      <w:r>
        <w:rPr>
          <w:rFonts w:ascii="Lora" w:hAnsi="Lora"/>
          <w:sz w:val="22"/>
        </w:rPr>
        <w:t>Similarly, we could take this process and move it to new taxa and gene regions. Biosecurity diagnostics is becoming important for Fungi, bacteria etc</w:t>
      </w:r>
    </w:p>
    <w:p w14:paraId="1539D415" w14:textId="6169A311" w:rsidR="003E7E3D" w:rsidRDefault="003E7E3D" w:rsidP="00A432FB">
      <w:pPr>
        <w:pStyle w:val="ListParagraph"/>
        <w:numPr>
          <w:ilvl w:val="0"/>
          <w:numId w:val="12"/>
        </w:numPr>
        <w:spacing w:after="160" w:line="360" w:lineRule="auto"/>
        <w:rPr>
          <w:rFonts w:ascii="Lora" w:hAnsi="Lora"/>
          <w:sz w:val="22"/>
        </w:rPr>
      </w:pPr>
      <w:r>
        <w:rPr>
          <w:rFonts w:ascii="Lora" w:hAnsi="Lora"/>
          <w:sz w:val="22"/>
        </w:rPr>
        <w:t>Of course, this process should not fully replace laboratory validation on targets, however it allows you to be more selective</w:t>
      </w:r>
    </w:p>
    <w:p w14:paraId="45823584" w14:textId="2C2831C0" w:rsidR="00A432FB" w:rsidRDefault="003E7E3D" w:rsidP="00A432FB">
      <w:pPr>
        <w:pStyle w:val="ListParagraph"/>
        <w:numPr>
          <w:ilvl w:val="0"/>
          <w:numId w:val="12"/>
        </w:numPr>
        <w:spacing w:after="160" w:line="360" w:lineRule="auto"/>
        <w:rPr>
          <w:rFonts w:ascii="Lora" w:hAnsi="Lora"/>
          <w:sz w:val="22"/>
        </w:rPr>
      </w:pPr>
      <w:proofErr w:type="gramStart"/>
      <w:r>
        <w:rPr>
          <w:rFonts w:ascii="Lora" w:hAnsi="Lora"/>
          <w:sz w:val="22"/>
        </w:rPr>
        <w:t>Therefore</w:t>
      </w:r>
      <w:proofErr w:type="gramEnd"/>
      <w:r>
        <w:rPr>
          <w:rFonts w:ascii="Lora" w:hAnsi="Lora"/>
          <w:sz w:val="22"/>
        </w:rPr>
        <w:t xml:space="preserve"> we recommend that this process be followe</w:t>
      </w:r>
      <w:bookmarkStart w:id="5" w:name="_GoBack"/>
      <w:bookmarkEnd w:id="5"/>
      <w:r>
        <w:rPr>
          <w:rFonts w:ascii="Lora" w:hAnsi="Lora"/>
          <w:sz w:val="22"/>
        </w:rPr>
        <w:t>d up by validation to be conducted on a phylogenetically and physiologically diverse group of organisms. As well as high priority targets.</w:t>
      </w:r>
    </w:p>
    <w:p w14:paraId="1D0967B9" w14:textId="2EB5D34D" w:rsidR="003E7E3D" w:rsidRDefault="003E7E3D" w:rsidP="00A432FB">
      <w:pPr>
        <w:pStyle w:val="ListParagraph"/>
        <w:numPr>
          <w:ilvl w:val="0"/>
          <w:numId w:val="12"/>
        </w:numPr>
        <w:spacing w:after="160" w:line="360" w:lineRule="auto"/>
        <w:rPr>
          <w:rFonts w:ascii="Lora" w:hAnsi="Lora"/>
          <w:sz w:val="22"/>
        </w:rPr>
      </w:pPr>
      <w:r>
        <w:rPr>
          <w:rFonts w:ascii="Lora" w:hAnsi="Lora"/>
          <w:sz w:val="22"/>
        </w:rPr>
        <w:t>Luckily, many of these published primers have been previously tested on insects and other arthropods, which provides further confidence.</w:t>
      </w:r>
    </w:p>
    <w:p w14:paraId="1077F9E2" w14:textId="022F32E5" w:rsidR="003E7E3D" w:rsidRPr="00A432FB" w:rsidRDefault="003E7E3D" w:rsidP="00A432FB">
      <w:pPr>
        <w:pStyle w:val="ListParagraph"/>
        <w:numPr>
          <w:ilvl w:val="0"/>
          <w:numId w:val="12"/>
        </w:numPr>
        <w:spacing w:after="160" w:line="360" w:lineRule="auto"/>
        <w:rPr>
          <w:rFonts w:ascii="Lora" w:hAnsi="Lora"/>
          <w:sz w:val="22"/>
        </w:rPr>
      </w:pPr>
      <w:r>
        <w:rPr>
          <w:rFonts w:ascii="Lora" w:hAnsi="Lora"/>
          <w:sz w:val="22"/>
        </w:rPr>
        <w:t>However, matrix effects must also be validated etc.</w:t>
      </w:r>
    </w:p>
    <w:p w14:paraId="095FAFB1" w14:textId="77777777" w:rsidR="00A432FB" w:rsidRDefault="00A432FB" w:rsidP="00A17066">
      <w:pPr>
        <w:spacing w:after="160" w:line="360" w:lineRule="auto"/>
        <w:rPr>
          <w:rFonts w:ascii="Lora" w:hAnsi="Lora"/>
          <w:sz w:val="22"/>
        </w:rPr>
      </w:pPr>
    </w:p>
    <w:p w14:paraId="6A30059C" w14:textId="2A6A3AE0" w:rsidR="00740751" w:rsidRPr="00740751" w:rsidRDefault="00740751" w:rsidP="00A17066">
      <w:pPr>
        <w:spacing w:after="160" w:line="360" w:lineRule="auto"/>
        <w:rPr>
          <w:rFonts w:ascii="Lora" w:hAnsi="Lora"/>
          <w:b/>
          <w:sz w:val="22"/>
        </w:rPr>
      </w:pPr>
      <w:r w:rsidRPr="00740751">
        <w:rPr>
          <w:rFonts w:ascii="Lora" w:hAnsi="Lora"/>
          <w:b/>
          <w:sz w:val="22"/>
        </w:rPr>
        <w:t>Acknowledgments</w:t>
      </w:r>
    </w:p>
    <w:p w14:paraId="0CB4E91F" w14:textId="77777777" w:rsidR="00254128" w:rsidRDefault="00254128" w:rsidP="00740751">
      <w:pPr>
        <w:spacing w:after="160" w:line="360" w:lineRule="auto"/>
        <w:rPr>
          <w:rFonts w:ascii="Lora" w:hAnsi="Lora"/>
          <w:b/>
          <w:sz w:val="22"/>
        </w:rPr>
      </w:pPr>
    </w:p>
    <w:p w14:paraId="59134E6C" w14:textId="55A742A7" w:rsidR="00740751" w:rsidRDefault="00740751" w:rsidP="00740751">
      <w:pPr>
        <w:spacing w:after="160" w:line="360" w:lineRule="auto"/>
        <w:rPr>
          <w:rFonts w:ascii="Lora" w:hAnsi="Lora"/>
          <w:sz w:val="22"/>
        </w:rPr>
      </w:pPr>
      <w:r w:rsidRPr="00740751">
        <w:rPr>
          <w:rFonts w:ascii="Lora" w:hAnsi="Lora"/>
          <w:b/>
          <w:sz w:val="22"/>
        </w:rPr>
        <w:t>Availability of data and materials:</w:t>
      </w:r>
      <w:r>
        <w:rPr>
          <w:rFonts w:ascii="Lora" w:hAnsi="Lora"/>
          <w:sz w:val="22"/>
        </w:rPr>
        <w:t xml:space="preserve"> </w:t>
      </w:r>
    </w:p>
    <w:p w14:paraId="7D3B08F4" w14:textId="6A2F1F21" w:rsidR="00740751" w:rsidRDefault="00740751" w:rsidP="00740751">
      <w:pPr>
        <w:spacing w:after="160" w:line="360" w:lineRule="auto"/>
        <w:rPr>
          <w:rFonts w:ascii="Lora" w:hAnsi="Lora"/>
          <w:sz w:val="22"/>
        </w:rPr>
      </w:pPr>
      <w:r>
        <w:rPr>
          <w:rFonts w:ascii="Lora" w:hAnsi="Lora"/>
          <w:sz w:val="22"/>
        </w:rPr>
        <w:lastRenderedPageBreak/>
        <w:t xml:space="preserve">All scripts </w:t>
      </w:r>
      <w:r w:rsidR="00001C9C">
        <w:rPr>
          <w:rFonts w:ascii="Lora" w:hAnsi="Lora"/>
          <w:sz w:val="22"/>
        </w:rPr>
        <w:t xml:space="preserve">required to reproduce the analyses </w:t>
      </w:r>
      <w:r>
        <w:rPr>
          <w:rFonts w:ascii="Lora" w:hAnsi="Lora"/>
          <w:sz w:val="22"/>
        </w:rPr>
        <w:t>are available at</w:t>
      </w:r>
      <w:r w:rsidRPr="00740751">
        <w:t xml:space="preserve"> </w:t>
      </w:r>
      <w:hyperlink r:id="rId12" w:history="1">
        <w:r w:rsidRPr="000559A2">
          <w:rPr>
            <w:rStyle w:val="Hyperlink"/>
            <w:rFonts w:ascii="Lora" w:hAnsi="Lora"/>
            <w:sz w:val="22"/>
          </w:rPr>
          <w:t>https://github.com/alexpiper/Drosophila_metabarcoding</w:t>
        </w:r>
      </w:hyperlink>
      <w:r>
        <w:rPr>
          <w:rFonts w:ascii="Lora" w:hAnsi="Lora"/>
          <w:sz w:val="22"/>
        </w:rPr>
        <w:t xml:space="preserve">. The scripts to curate and format reference databases have been contained within an R package available at </w:t>
      </w:r>
      <w:hyperlink r:id="rId13" w:history="1">
        <w:r w:rsidR="000E0286" w:rsidRPr="000559A2">
          <w:rPr>
            <w:rStyle w:val="Hyperlink"/>
            <w:rFonts w:ascii="Lora" w:hAnsi="Lora"/>
            <w:sz w:val="22"/>
          </w:rPr>
          <w:t>https://github.com/alexpiper/taxreturn</w:t>
        </w:r>
      </w:hyperlink>
      <w:r w:rsidR="000E0286">
        <w:rPr>
          <w:rFonts w:ascii="Lora" w:hAnsi="Lora"/>
          <w:sz w:val="22"/>
        </w:rPr>
        <w:t xml:space="preserve">. </w:t>
      </w:r>
    </w:p>
    <w:p w14:paraId="6CBAE5EB" w14:textId="77777777" w:rsidR="00740751" w:rsidRPr="00E33E6A" w:rsidRDefault="00740751" w:rsidP="00A17066">
      <w:pPr>
        <w:spacing w:after="160" w:line="360" w:lineRule="auto"/>
        <w:rPr>
          <w:rFonts w:ascii="Lora" w:hAnsi="Lora"/>
          <w:sz w:val="22"/>
        </w:rPr>
      </w:pPr>
    </w:p>
    <w:p w14:paraId="5F8555E7" w14:textId="13F41AAF" w:rsidR="00CB324B" w:rsidRPr="00E33E6A" w:rsidRDefault="00CB324B" w:rsidP="00CB324B">
      <w:pPr>
        <w:pStyle w:val="Heading1"/>
        <w:rPr>
          <w:rFonts w:ascii="Lora" w:hAnsi="Lora"/>
          <w:sz w:val="22"/>
          <w:szCs w:val="22"/>
        </w:rPr>
      </w:pPr>
      <w:r w:rsidRPr="00E33E6A">
        <w:rPr>
          <w:rFonts w:ascii="Lora" w:hAnsi="Lora"/>
          <w:sz w:val="22"/>
          <w:szCs w:val="22"/>
        </w:rPr>
        <w:t>References</w:t>
      </w:r>
    </w:p>
    <w:p w14:paraId="6E752606" w14:textId="2729D08A" w:rsidR="00760C76" w:rsidRPr="00760C76" w:rsidRDefault="0016608D" w:rsidP="00760C76">
      <w:pPr>
        <w:widowControl w:val="0"/>
        <w:autoSpaceDE w:val="0"/>
        <w:autoSpaceDN w:val="0"/>
        <w:adjustRightInd w:val="0"/>
        <w:spacing w:after="160" w:line="360" w:lineRule="auto"/>
        <w:ind w:left="480" w:hanging="480"/>
        <w:rPr>
          <w:rFonts w:ascii="Lora" w:hAnsi="Lora" w:cs="Times New Roman"/>
          <w:noProof/>
          <w:sz w:val="22"/>
          <w:szCs w:val="24"/>
        </w:rPr>
      </w:pPr>
      <w:r w:rsidRPr="00E33E6A">
        <w:rPr>
          <w:rFonts w:ascii="Lora" w:hAnsi="Lora"/>
          <w:sz w:val="22"/>
        </w:rPr>
        <w:fldChar w:fldCharType="begin" w:fldLock="1"/>
      </w:r>
      <w:r w:rsidRPr="00E33E6A">
        <w:rPr>
          <w:rFonts w:ascii="Lora" w:hAnsi="Lora"/>
          <w:sz w:val="22"/>
        </w:rPr>
        <w:instrText xml:space="preserve">ADDIN Mendeley Bibliography CSL_BIBLIOGRAPHY </w:instrText>
      </w:r>
      <w:r w:rsidRPr="00E33E6A">
        <w:rPr>
          <w:rFonts w:ascii="Lora" w:hAnsi="Lora"/>
          <w:sz w:val="22"/>
        </w:rPr>
        <w:fldChar w:fldCharType="separate"/>
      </w:r>
      <w:r w:rsidR="00760C76" w:rsidRPr="00760C76">
        <w:rPr>
          <w:rFonts w:ascii="Lora" w:hAnsi="Lora" w:cs="Times New Roman"/>
          <w:noProof/>
          <w:sz w:val="22"/>
          <w:szCs w:val="24"/>
        </w:rPr>
        <w:t xml:space="preserve">Ashfaq, M., Hebert, P. D. N. P. D. N., &amp; Naaum, A. (2016). DNA barcodes for bio-surveillance: Regulated and economically important arthropod plant pests. </w:t>
      </w:r>
      <w:r w:rsidR="00760C76" w:rsidRPr="00760C76">
        <w:rPr>
          <w:rFonts w:ascii="Lora" w:hAnsi="Lora" w:cs="Times New Roman"/>
          <w:i/>
          <w:iCs/>
          <w:noProof/>
          <w:sz w:val="22"/>
          <w:szCs w:val="24"/>
        </w:rPr>
        <w:t>Genome</w:t>
      </w:r>
      <w:r w:rsidR="00760C76" w:rsidRPr="00760C76">
        <w:rPr>
          <w:rFonts w:ascii="Lora" w:hAnsi="Lora" w:cs="Times New Roman"/>
          <w:noProof/>
          <w:sz w:val="22"/>
          <w:szCs w:val="24"/>
        </w:rPr>
        <w:t xml:space="preserve">, </w:t>
      </w:r>
      <w:r w:rsidR="00760C76" w:rsidRPr="00760C76">
        <w:rPr>
          <w:rFonts w:ascii="Lora" w:hAnsi="Lora" w:cs="Times New Roman"/>
          <w:i/>
          <w:iCs/>
          <w:noProof/>
          <w:sz w:val="22"/>
          <w:szCs w:val="24"/>
        </w:rPr>
        <w:t>59</w:t>
      </w:r>
      <w:r w:rsidR="00760C76" w:rsidRPr="00760C76">
        <w:rPr>
          <w:rFonts w:ascii="Lora" w:hAnsi="Lora" w:cs="Times New Roman"/>
          <w:noProof/>
          <w:sz w:val="22"/>
          <w:szCs w:val="24"/>
        </w:rPr>
        <w:t>(11), 933–945. doi:10.1139/gen-2016-0024</w:t>
      </w:r>
    </w:p>
    <w:p w14:paraId="1F40AEEA"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Batovska, J., Mee, P. T., Lynch, S. E., Sawbridge, T. I., &amp; Rodoni, B. C. (2019). Sensitivity and specificity of metatranscriptomics as an arbovirus surveillance tool. </w:t>
      </w:r>
      <w:r w:rsidRPr="00760C76">
        <w:rPr>
          <w:rFonts w:ascii="Lora" w:hAnsi="Lora" w:cs="Times New Roman"/>
          <w:i/>
          <w:iCs/>
          <w:noProof/>
          <w:sz w:val="22"/>
          <w:szCs w:val="24"/>
        </w:rPr>
        <w:t>Scientific Reports</w:t>
      </w:r>
      <w:r w:rsidRPr="00760C76">
        <w:rPr>
          <w:rFonts w:ascii="Lora" w:hAnsi="Lora" w:cs="Times New Roman"/>
          <w:noProof/>
          <w:sz w:val="22"/>
          <w:szCs w:val="24"/>
        </w:rPr>
        <w:t xml:space="preserve">, </w:t>
      </w:r>
      <w:r w:rsidRPr="00760C76">
        <w:rPr>
          <w:rFonts w:ascii="Lora" w:hAnsi="Lora" w:cs="Times New Roman"/>
          <w:i/>
          <w:iCs/>
          <w:noProof/>
          <w:sz w:val="22"/>
          <w:szCs w:val="24"/>
        </w:rPr>
        <w:t>9</w:t>
      </w:r>
      <w:r w:rsidRPr="00760C76">
        <w:rPr>
          <w:rFonts w:ascii="Lora" w:hAnsi="Lora" w:cs="Times New Roman"/>
          <w:noProof/>
          <w:sz w:val="22"/>
          <w:szCs w:val="24"/>
        </w:rPr>
        <w:t>(1), 1–13. doi:10.1038/s41598-019-55741-3</w:t>
      </w:r>
    </w:p>
    <w:p w14:paraId="0F830EDE"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Brandon-Mong, G.-J. J., Gan, H.-M. M., Sing, K.-W. W., Lee, P.-S. S., Lim, P.-E. E., &amp; Wilson, J.-J. J. (2015). DNA metabarcoding of insects and allies: An evaluation of primers and pipelines. </w:t>
      </w:r>
      <w:r w:rsidRPr="00760C76">
        <w:rPr>
          <w:rFonts w:ascii="Lora" w:hAnsi="Lora" w:cs="Times New Roman"/>
          <w:i/>
          <w:iCs/>
          <w:noProof/>
          <w:sz w:val="22"/>
          <w:szCs w:val="24"/>
        </w:rPr>
        <w:t>Bulletin of Entomological Research</w:t>
      </w:r>
      <w:r w:rsidRPr="00760C76">
        <w:rPr>
          <w:rFonts w:ascii="Lora" w:hAnsi="Lora" w:cs="Times New Roman"/>
          <w:noProof/>
          <w:sz w:val="22"/>
          <w:szCs w:val="24"/>
        </w:rPr>
        <w:t xml:space="preserve">, </w:t>
      </w:r>
      <w:r w:rsidRPr="00760C76">
        <w:rPr>
          <w:rFonts w:ascii="Lora" w:hAnsi="Lora" w:cs="Times New Roman"/>
          <w:i/>
          <w:iCs/>
          <w:noProof/>
          <w:sz w:val="22"/>
          <w:szCs w:val="24"/>
        </w:rPr>
        <w:t>105</w:t>
      </w:r>
      <w:r w:rsidRPr="00760C76">
        <w:rPr>
          <w:rFonts w:ascii="Lora" w:hAnsi="Lora" w:cs="Times New Roman"/>
          <w:noProof/>
          <w:sz w:val="22"/>
          <w:szCs w:val="24"/>
        </w:rPr>
        <w:t>(6), 717–727. doi:10.1017/S0007485315000681</w:t>
      </w:r>
    </w:p>
    <w:p w14:paraId="31DE158B"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Brown, S. D. J., Collins, R. A., Boyer, S., Lefort, M.-C., Malumbres-Olarte, J., Vink, C. J., &amp; Cruickshank, R. H. (2012). SPIDER: an R package for the analysis of species identity and evolution, with particular reference to DNA barcoding. </w:t>
      </w:r>
      <w:r w:rsidRPr="00760C76">
        <w:rPr>
          <w:rFonts w:ascii="Lora" w:hAnsi="Lora" w:cs="Times New Roman"/>
          <w:i/>
          <w:iCs/>
          <w:noProof/>
          <w:sz w:val="22"/>
          <w:szCs w:val="24"/>
        </w:rPr>
        <w:t>Molecular Ecology Resources</w:t>
      </w:r>
      <w:r w:rsidRPr="00760C76">
        <w:rPr>
          <w:rFonts w:ascii="Lora" w:hAnsi="Lora" w:cs="Times New Roman"/>
          <w:noProof/>
          <w:sz w:val="22"/>
          <w:szCs w:val="24"/>
        </w:rPr>
        <w:t xml:space="preserve">, </w:t>
      </w:r>
      <w:r w:rsidRPr="00760C76">
        <w:rPr>
          <w:rFonts w:ascii="Lora" w:hAnsi="Lora" w:cs="Times New Roman"/>
          <w:i/>
          <w:iCs/>
          <w:noProof/>
          <w:sz w:val="22"/>
          <w:szCs w:val="24"/>
        </w:rPr>
        <w:t>12</w:t>
      </w:r>
      <w:r w:rsidRPr="00760C76">
        <w:rPr>
          <w:rFonts w:ascii="Lora" w:hAnsi="Lora" w:cs="Times New Roman"/>
          <w:noProof/>
          <w:sz w:val="22"/>
          <w:szCs w:val="24"/>
        </w:rPr>
        <w:t>, 562–565.</w:t>
      </w:r>
    </w:p>
    <w:p w14:paraId="2FED467F"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Cannon, M. V., Hester, J., Shalkhauser, A., Chan, E. R., Logue, K., Small, S. T., &amp; Serre, D. (2016). In silico assessment of primers for eDNA studies using PrimerTree and application to characterize the biodiversity surrounding the Cuyahoga River. </w:t>
      </w:r>
      <w:r w:rsidRPr="00760C76">
        <w:rPr>
          <w:rFonts w:ascii="Lora" w:hAnsi="Lora" w:cs="Times New Roman"/>
          <w:i/>
          <w:iCs/>
          <w:noProof/>
          <w:sz w:val="22"/>
          <w:szCs w:val="24"/>
        </w:rPr>
        <w:t>Scientific Reports</w:t>
      </w:r>
      <w:r w:rsidRPr="00760C76">
        <w:rPr>
          <w:rFonts w:ascii="Lora" w:hAnsi="Lora" w:cs="Times New Roman"/>
          <w:noProof/>
          <w:sz w:val="22"/>
          <w:szCs w:val="24"/>
        </w:rPr>
        <w:t xml:space="preserve">, </w:t>
      </w:r>
      <w:r w:rsidRPr="00760C76">
        <w:rPr>
          <w:rFonts w:ascii="Lora" w:hAnsi="Lora" w:cs="Times New Roman"/>
          <w:i/>
          <w:iCs/>
          <w:noProof/>
          <w:sz w:val="22"/>
          <w:szCs w:val="24"/>
        </w:rPr>
        <w:t>6</w:t>
      </w:r>
      <w:r w:rsidRPr="00760C76">
        <w:rPr>
          <w:rFonts w:ascii="Lora" w:hAnsi="Lora" w:cs="Times New Roman"/>
          <w:noProof/>
          <w:sz w:val="22"/>
          <w:szCs w:val="24"/>
        </w:rPr>
        <w:t>(December 2015), 1–11. doi:10.1038/srep22908</w:t>
      </w:r>
    </w:p>
    <w:p w14:paraId="3CB6372D"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Chamberlain, S. (2017). bold: Interface to Bold Systems API. Retrieved from https://cran.r-project.org/package=bold</w:t>
      </w:r>
    </w:p>
    <w:p w14:paraId="356F864D"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Chamberlain, S. A., &amp; Szöcs, E. (2013). taxize: taxonomic search and retrieval in R. </w:t>
      </w:r>
      <w:r w:rsidRPr="00760C76">
        <w:rPr>
          <w:rFonts w:ascii="Lora" w:hAnsi="Lora" w:cs="Times New Roman"/>
          <w:i/>
          <w:iCs/>
          <w:noProof/>
          <w:sz w:val="22"/>
          <w:szCs w:val="24"/>
        </w:rPr>
        <w:t>F1000Research</w:t>
      </w:r>
      <w:r w:rsidRPr="00760C76">
        <w:rPr>
          <w:rFonts w:ascii="Lora" w:hAnsi="Lora" w:cs="Times New Roman"/>
          <w:noProof/>
          <w:sz w:val="22"/>
          <w:szCs w:val="24"/>
        </w:rPr>
        <w:t xml:space="preserve">, </w:t>
      </w:r>
      <w:r w:rsidRPr="00760C76">
        <w:rPr>
          <w:rFonts w:ascii="Lora" w:hAnsi="Lora" w:cs="Times New Roman"/>
          <w:i/>
          <w:iCs/>
          <w:noProof/>
          <w:sz w:val="22"/>
          <w:szCs w:val="24"/>
        </w:rPr>
        <w:t>2</w:t>
      </w:r>
      <w:r w:rsidRPr="00760C76">
        <w:rPr>
          <w:rFonts w:ascii="Lora" w:hAnsi="Lora" w:cs="Times New Roman"/>
          <w:noProof/>
          <w:sz w:val="22"/>
          <w:szCs w:val="24"/>
        </w:rPr>
        <w:t>, 191. doi:10.12688/f1000research.2-191.v2</w:t>
      </w:r>
    </w:p>
    <w:p w14:paraId="1280005B"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Chiu, C. Y., &amp; Miller, S. A. (2019). Clinical metagenomics. </w:t>
      </w:r>
      <w:r w:rsidRPr="00760C76">
        <w:rPr>
          <w:rFonts w:ascii="Lora" w:hAnsi="Lora" w:cs="Times New Roman"/>
          <w:i/>
          <w:iCs/>
          <w:noProof/>
          <w:sz w:val="22"/>
          <w:szCs w:val="24"/>
        </w:rPr>
        <w:t>Nature Reviews Genetics</w:t>
      </w:r>
      <w:r w:rsidRPr="00760C76">
        <w:rPr>
          <w:rFonts w:ascii="Lora" w:hAnsi="Lora" w:cs="Times New Roman"/>
          <w:noProof/>
          <w:sz w:val="22"/>
          <w:szCs w:val="24"/>
        </w:rPr>
        <w:t xml:space="preserve">, </w:t>
      </w:r>
      <w:r w:rsidRPr="00760C76">
        <w:rPr>
          <w:rFonts w:ascii="Lora" w:hAnsi="Lora" w:cs="Times New Roman"/>
          <w:i/>
          <w:iCs/>
          <w:noProof/>
          <w:sz w:val="22"/>
          <w:szCs w:val="24"/>
        </w:rPr>
        <w:t>20</w:t>
      </w:r>
      <w:r w:rsidRPr="00760C76">
        <w:rPr>
          <w:rFonts w:ascii="Lora" w:hAnsi="Lora" w:cs="Times New Roman"/>
          <w:noProof/>
          <w:sz w:val="22"/>
          <w:szCs w:val="24"/>
        </w:rPr>
        <w:t xml:space="preserve">, </w:t>
      </w:r>
      <w:r w:rsidRPr="00760C76">
        <w:rPr>
          <w:rFonts w:ascii="Lora" w:hAnsi="Lora" w:cs="Times New Roman"/>
          <w:noProof/>
          <w:sz w:val="22"/>
          <w:szCs w:val="24"/>
        </w:rPr>
        <w:lastRenderedPageBreak/>
        <w:t>341–355. doi:10.1038/s41576-019-0113-7</w:t>
      </w:r>
    </w:p>
    <w:p w14:paraId="539A685E"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Eddy, S. R. (1998). Profile hidden Markov models. </w:t>
      </w:r>
      <w:r w:rsidRPr="00760C76">
        <w:rPr>
          <w:rFonts w:ascii="Lora" w:hAnsi="Lora" w:cs="Times New Roman"/>
          <w:i/>
          <w:iCs/>
          <w:noProof/>
          <w:sz w:val="22"/>
          <w:szCs w:val="24"/>
        </w:rPr>
        <w:t>Bioinformatics</w:t>
      </w:r>
      <w:r w:rsidRPr="00760C76">
        <w:rPr>
          <w:rFonts w:ascii="Lora" w:hAnsi="Lora" w:cs="Times New Roman"/>
          <w:noProof/>
          <w:sz w:val="22"/>
          <w:szCs w:val="24"/>
        </w:rPr>
        <w:t>. doi:10.1093/bioinformatics/14.9.755</w:t>
      </w:r>
    </w:p>
    <w:p w14:paraId="65A2B8A9"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Elbrecht, V., &amp; Leese, F. (2017a). PrimerMiner: an r package for development and in silico validation of DNA metabarcoding primers. </w:t>
      </w:r>
      <w:r w:rsidRPr="00760C76">
        <w:rPr>
          <w:rFonts w:ascii="Lora" w:hAnsi="Lora" w:cs="Times New Roman"/>
          <w:i/>
          <w:iCs/>
          <w:noProof/>
          <w:sz w:val="22"/>
          <w:szCs w:val="24"/>
        </w:rPr>
        <w:t>Methods in Ecology and Evolution</w:t>
      </w:r>
      <w:r w:rsidRPr="00760C76">
        <w:rPr>
          <w:rFonts w:ascii="Lora" w:hAnsi="Lora" w:cs="Times New Roman"/>
          <w:noProof/>
          <w:sz w:val="22"/>
          <w:szCs w:val="24"/>
        </w:rPr>
        <w:t xml:space="preserve">, </w:t>
      </w:r>
      <w:r w:rsidRPr="00760C76">
        <w:rPr>
          <w:rFonts w:ascii="Lora" w:hAnsi="Lora" w:cs="Times New Roman"/>
          <w:i/>
          <w:iCs/>
          <w:noProof/>
          <w:sz w:val="22"/>
          <w:szCs w:val="24"/>
        </w:rPr>
        <w:t>8</w:t>
      </w:r>
      <w:r w:rsidRPr="00760C76">
        <w:rPr>
          <w:rFonts w:ascii="Lora" w:hAnsi="Lora" w:cs="Times New Roman"/>
          <w:noProof/>
          <w:sz w:val="22"/>
          <w:szCs w:val="24"/>
        </w:rPr>
        <w:t>(5), 622–626. doi:10.1111/2041-210X.12687</w:t>
      </w:r>
    </w:p>
    <w:p w14:paraId="2E93156B"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Elbrecht, V., &amp; Leese, F. (2017b). Validation and Development of COI Metabarcoding Primers for Freshwater Macroinvertebrate Bioassessment. </w:t>
      </w:r>
      <w:r w:rsidRPr="00760C76">
        <w:rPr>
          <w:rFonts w:ascii="Lora" w:hAnsi="Lora" w:cs="Times New Roman"/>
          <w:i/>
          <w:iCs/>
          <w:noProof/>
          <w:sz w:val="22"/>
          <w:szCs w:val="24"/>
        </w:rPr>
        <w:t>Frontiers in Environmental Science</w:t>
      </w:r>
      <w:r w:rsidRPr="00760C76">
        <w:rPr>
          <w:rFonts w:ascii="Lora" w:hAnsi="Lora" w:cs="Times New Roman"/>
          <w:noProof/>
          <w:sz w:val="22"/>
          <w:szCs w:val="24"/>
        </w:rPr>
        <w:t xml:space="preserve">, </w:t>
      </w:r>
      <w:r w:rsidRPr="00760C76">
        <w:rPr>
          <w:rFonts w:ascii="Lora" w:hAnsi="Lora" w:cs="Times New Roman"/>
          <w:i/>
          <w:iCs/>
          <w:noProof/>
          <w:sz w:val="22"/>
          <w:szCs w:val="24"/>
        </w:rPr>
        <w:t>5</w:t>
      </w:r>
      <w:r w:rsidRPr="00760C76">
        <w:rPr>
          <w:rFonts w:ascii="Lora" w:hAnsi="Lora" w:cs="Times New Roman"/>
          <w:noProof/>
          <w:sz w:val="22"/>
          <w:szCs w:val="24"/>
        </w:rPr>
        <w:t>, 11. doi:10.3389/fenvs.2017.00011</w:t>
      </w:r>
    </w:p>
    <w:p w14:paraId="5BA98488"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Folmer, O., Black, M., Hoeh, W., Lutz, R., &amp; Vrijenhoek, R. (1994). DNA primers for amplification of mitochondrial cytochrome c oxidase subunit I from diverse metazoan invertebrates. </w:t>
      </w:r>
      <w:r w:rsidRPr="00760C76">
        <w:rPr>
          <w:rFonts w:ascii="Lora" w:hAnsi="Lora" w:cs="Times New Roman"/>
          <w:i/>
          <w:iCs/>
          <w:noProof/>
          <w:sz w:val="22"/>
          <w:szCs w:val="24"/>
        </w:rPr>
        <w:t>Molecular Marine Biology and Biotechnology</w:t>
      </w:r>
      <w:r w:rsidRPr="00760C76">
        <w:rPr>
          <w:rFonts w:ascii="Lora" w:hAnsi="Lora" w:cs="Times New Roman"/>
          <w:noProof/>
          <w:sz w:val="22"/>
          <w:szCs w:val="24"/>
        </w:rPr>
        <w:t xml:space="preserve">, </w:t>
      </w:r>
      <w:r w:rsidRPr="00760C76">
        <w:rPr>
          <w:rFonts w:ascii="Lora" w:hAnsi="Lora" w:cs="Times New Roman"/>
          <w:i/>
          <w:iCs/>
          <w:noProof/>
          <w:sz w:val="22"/>
          <w:szCs w:val="24"/>
        </w:rPr>
        <w:t>3</w:t>
      </w:r>
      <w:r w:rsidRPr="00760C76">
        <w:rPr>
          <w:rFonts w:ascii="Lora" w:hAnsi="Lora" w:cs="Times New Roman"/>
          <w:noProof/>
          <w:sz w:val="22"/>
          <w:szCs w:val="24"/>
        </w:rPr>
        <w:t>(5), 294–299. doi:10.1371/journal.pone.0013102</w:t>
      </w:r>
    </w:p>
    <w:p w14:paraId="114E4D5F"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HOLMES, I., &amp; DURBIN, R. (2009). Dynamic Programming Alignment Accuracy. </w:t>
      </w:r>
      <w:r w:rsidRPr="00760C76">
        <w:rPr>
          <w:rFonts w:ascii="Lora" w:hAnsi="Lora" w:cs="Times New Roman"/>
          <w:i/>
          <w:iCs/>
          <w:noProof/>
          <w:sz w:val="22"/>
          <w:szCs w:val="24"/>
        </w:rPr>
        <w:t>Journal of Computational Biology</w:t>
      </w:r>
      <w:r w:rsidRPr="00760C76">
        <w:rPr>
          <w:rFonts w:ascii="Lora" w:hAnsi="Lora" w:cs="Times New Roman"/>
          <w:noProof/>
          <w:sz w:val="22"/>
          <w:szCs w:val="24"/>
        </w:rPr>
        <w:t>. doi:10.1089/cmb.1998.5.493</w:t>
      </w:r>
    </w:p>
    <w:p w14:paraId="03FAE193"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Jiang, F., Jin, Q., Liang, L., Zhang, A. B., &amp; Li, Z. H. (2014). Existence of species complex largely reduced barcoding success for invasive species of Tephritidae: A case study in Bactrocera spp. </w:t>
      </w:r>
      <w:r w:rsidRPr="00760C76">
        <w:rPr>
          <w:rFonts w:ascii="Lora" w:hAnsi="Lora" w:cs="Times New Roman"/>
          <w:i/>
          <w:iCs/>
          <w:noProof/>
          <w:sz w:val="22"/>
          <w:szCs w:val="24"/>
        </w:rPr>
        <w:t>Molecular Ecology Resources</w:t>
      </w:r>
      <w:r w:rsidRPr="00760C76">
        <w:rPr>
          <w:rFonts w:ascii="Lora" w:hAnsi="Lora" w:cs="Times New Roman"/>
          <w:noProof/>
          <w:sz w:val="22"/>
          <w:szCs w:val="24"/>
        </w:rPr>
        <w:t xml:space="preserve">, </w:t>
      </w:r>
      <w:r w:rsidRPr="00760C76">
        <w:rPr>
          <w:rFonts w:ascii="Lora" w:hAnsi="Lora" w:cs="Times New Roman"/>
          <w:i/>
          <w:iCs/>
          <w:noProof/>
          <w:sz w:val="22"/>
          <w:szCs w:val="24"/>
        </w:rPr>
        <w:t>14</w:t>
      </w:r>
      <w:r w:rsidRPr="00760C76">
        <w:rPr>
          <w:rFonts w:ascii="Lora" w:hAnsi="Lora" w:cs="Times New Roman"/>
          <w:noProof/>
          <w:sz w:val="22"/>
          <w:szCs w:val="24"/>
        </w:rPr>
        <w:t>(6), 1114–1128. doi:10.1111/1755-0998.12259</w:t>
      </w:r>
    </w:p>
    <w:p w14:paraId="4AAC7063"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Jordaens, K., Sonet, G., &amp; Richet, R. (2013). Identification of forensically important Sarcophaga species ( Diptera</w:t>
      </w:r>
      <w:r w:rsidRPr="00760C76">
        <w:rPr>
          <w:rFonts w:ascii="Times New Roman" w:hAnsi="Times New Roman" w:cs="Times New Roman"/>
          <w:noProof/>
          <w:sz w:val="22"/>
          <w:szCs w:val="24"/>
        </w:rPr>
        <w:t> </w:t>
      </w:r>
      <w:r w:rsidRPr="00760C76">
        <w:rPr>
          <w:rFonts w:ascii="Lora" w:hAnsi="Lora" w:cs="Times New Roman"/>
          <w:noProof/>
          <w:sz w:val="22"/>
          <w:szCs w:val="24"/>
        </w:rPr>
        <w:t>: Sarcophagidae ) using the mitochondrial COI gene, 491–504. doi:10.1007/s00414-012-0767-6</w:t>
      </w:r>
    </w:p>
    <w:p w14:paraId="54605157"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Krosch, M. N., Schutze, M. K., Strutt, F., Clarke, A. R., &amp; Cameron, S. L. (2017). A transcriptome-based analytical workflow for identifying loci for species diagnosis: A case study with Bactrocera fruit flies (Diptera: Tephritidae). </w:t>
      </w:r>
      <w:r w:rsidRPr="00760C76">
        <w:rPr>
          <w:rFonts w:ascii="Lora" w:hAnsi="Lora" w:cs="Times New Roman"/>
          <w:i/>
          <w:iCs/>
          <w:noProof/>
          <w:sz w:val="22"/>
          <w:szCs w:val="24"/>
        </w:rPr>
        <w:t>Austral Entomology</w:t>
      </w:r>
      <w:r w:rsidRPr="00760C76">
        <w:rPr>
          <w:rFonts w:ascii="Lora" w:hAnsi="Lora" w:cs="Times New Roman"/>
          <w:noProof/>
          <w:sz w:val="22"/>
          <w:szCs w:val="24"/>
        </w:rPr>
        <w:t xml:space="preserve">, </w:t>
      </w:r>
      <w:r w:rsidRPr="00760C76">
        <w:rPr>
          <w:rFonts w:ascii="Lora" w:hAnsi="Lora" w:cs="Times New Roman"/>
          <w:i/>
          <w:iCs/>
          <w:noProof/>
          <w:sz w:val="22"/>
          <w:szCs w:val="24"/>
        </w:rPr>
        <w:t>58</w:t>
      </w:r>
      <w:r w:rsidRPr="00760C76">
        <w:rPr>
          <w:rFonts w:ascii="Lora" w:hAnsi="Lora" w:cs="Times New Roman"/>
          <w:noProof/>
          <w:sz w:val="22"/>
          <w:szCs w:val="24"/>
        </w:rPr>
        <w:t>, 395– 408. doi:10.1111/aen.12321</w:t>
      </w:r>
    </w:p>
    <w:p w14:paraId="0E1D6C79"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Leray, M., Yang, J. Y., Meyer, C. P., Mills, S. C., Agudelo, N., Ranwez, V., … Machida, R. J. (2013). A new versatile primer set targeting a short fragment of the mitochondrial COI region for metabarcoding metazoan diversity</w:t>
      </w:r>
      <w:r w:rsidRPr="00760C76">
        <w:rPr>
          <w:rFonts w:ascii="Times New Roman" w:hAnsi="Times New Roman" w:cs="Times New Roman"/>
          <w:noProof/>
          <w:sz w:val="22"/>
          <w:szCs w:val="24"/>
        </w:rPr>
        <w:t> </w:t>
      </w:r>
      <w:r w:rsidRPr="00760C76">
        <w:rPr>
          <w:rFonts w:ascii="Lora" w:hAnsi="Lora" w:cs="Times New Roman"/>
          <w:noProof/>
          <w:sz w:val="22"/>
          <w:szCs w:val="24"/>
        </w:rPr>
        <w:t xml:space="preserve">: application for characterizing </w:t>
      </w:r>
      <w:r w:rsidRPr="00760C76">
        <w:rPr>
          <w:rFonts w:ascii="Lora" w:hAnsi="Lora" w:cs="Times New Roman"/>
          <w:noProof/>
          <w:sz w:val="22"/>
          <w:szCs w:val="24"/>
        </w:rPr>
        <w:lastRenderedPageBreak/>
        <w:t>coral reef fish gut contents, 1–14.</w:t>
      </w:r>
    </w:p>
    <w:p w14:paraId="19D706B8"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Machida, R. J., Leray, M., Ho, S. L., &amp; Knowlton, N. (2017). Data Descriptor: Metazoan mitochondrial gene sequence reference datasets for taxonomic assignment of environmental samples. </w:t>
      </w:r>
      <w:r w:rsidRPr="00760C76">
        <w:rPr>
          <w:rFonts w:ascii="Lora" w:hAnsi="Lora" w:cs="Times New Roman"/>
          <w:i/>
          <w:iCs/>
          <w:noProof/>
          <w:sz w:val="22"/>
          <w:szCs w:val="24"/>
        </w:rPr>
        <w:t>Scientific Data</w:t>
      </w:r>
      <w:r w:rsidRPr="00760C76">
        <w:rPr>
          <w:rFonts w:ascii="Lora" w:hAnsi="Lora" w:cs="Times New Roman"/>
          <w:noProof/>
          <w:sz w:val="22"/>
          <w:szCs w:val="24"/>
        </w:rPr>
        <w:t xml:space="preserve">, </w:t>
      </w:r>
      <w:r w:rsidRPr="00760C76">
        <w:rPr>
          <w:rFonts w:ascii="Lora" w:hAnsi="Lora" w:cs="Times New Roman"/>
          <w:i/>
          <w:iCs/>
          <w:noProof/>
          <w:sz w:val="22"/>
          <w:szCs w:val="24"/>
        </w:rPr>
        <w:t>4</w:t>
      </w:r>
      <w:r w:rsidRPr="00760C76">
        <w:rPr>
          <w:rFonts w:ascii="Lora" w:hAnsi="Lora" w:cs="Times New Roman"/>
          <w:noProof/>
          <w:sz w:val="22"/>
          <w:szCs w:val="24"/>
        </w:rPr>
        <w:t>, 170027. doi:10.1038/sdata.2017.27</w:t>
      </w:r>
    </w:p>
    <w:p w14:paraId="6929937D"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Marquina, D. (2019). New mitochondrial primers for metabarcoding of insects , designed and evaluated using in silico methods, (August 2018), 90–104. doi:10.1111/1755-0998.12942</w:t>
      </w:r>
    </w:p>
    <w:p w14:paraId="7B0C09A8"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Meusnier, I., Singer, G. A. C., Landry, J. F., Hickey, D. A., Hebert, P. D. N., &amp; Hajibabaei, M. (2008). A universal DNA mini-barcode for biodiversity analysis. </w:t>
      </w:r>
      <w:r w:rsidRPr="00760C76">
        <w:rPr>
          <w:rFonts w:ascii="Lora" w:hAnsi="Lora" w:cs="Times New Roman"/>
          <w:i/>
          <w:iCs/>
          <w:noProof/>
          <w:sz w:val="22"/>
          <w:szCs w:val="24"/>
        </w:rPr>
        <w:t>BMC Genomics</w:t>
      </w:r>
      <w:r w:rsidRPr="00760C76">
        <w:rPr>
          <w:rFonts w:ascii="Lora" w:hAnsi="Lora" w:cs="Times New Roman"/>
          <w:noProof/>
          <w:sz w:val="22"/>
          <w:szCs w:val="24"/>
        </w:rPr>
        <w:t xml:space="preserve">, </w:t>
      </w:r>
      <w:r w:rsidRPr="00760C76">
        <w:rPr>
          <w:rFonts w:ascii="Lora" w:hAnsi="Lora" w:cs="Times New Roman"/>
          <w:i/>
          <w:iCs/>
          <w:noProof/>
          <w:sz w:val="22"/>
          <w:szCs w:val="24"/>
        </w:rPr>
        <w:t>9</w:t>
      </w:r>
      <w:r w:rsidRPr="00760C76">
        <w:rPr>
          <w:rFonts w:ascii="Lora" w:hAnsi="Lora" w:cs="Times New Roman"/>
          <w:noProof/>
          <w:sz w:val="22"/>
          <w:szCs w:val="24"/>
        </w:rPr>
        <w:t>, 4–7. doi:10.1186/1471-2164-9-214</w:t>
      </w:r>
    </w:p>
    <w:p w14:paraId="17DB7DC6"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Mioduchowska, M., Jan, M., Gołdyn, B., Kur, J., &amp; Sell, J. (2018). Instances of erroneous DNA barcoding of metazoan invertebrates: Are universal cox1 gene primers too “universal”? </w:t>
      </w:r>
      <w:r w:rsidRPr="00760C76">
        <w:rPr>
          <w:rFonts w:ascii="Lora" w:hAnsi="Lora" w:cs="Times New Roman"/>
          <w:i/>
          <w:iCs/>
          <w:noProof/>
          <w:sz w:val="22"/>
          <w:szCs w:val="24"/>
        </w:rPr>
        <w:t>Plos One</w:t>
      </w:r>
      <w:r w:rsidRPr="00760C76">
        <w:rPr>
          <w:rFonts w:ascii="Lora" w:hAnsi="Lora" w:cs="Times New Roman"/>
          <w:noProof/>
          <w:sz w:val="22"/>
          <w:szCs w:val="24"/>
        </w:rPr>
        <w:t xml:space="preserve">, </w:t>
      </w:r>
      <w:r w:rsidRPr="00760C76">
        <w:rPr>
          <w:rFonts w:ascii="Lora" w:hAnsi="Lora" w:cs="Times New Roman"/>
          <w:i/>
          <w:iCs/>
          <w:noProof/>
          <w:sz w:val="22"/>
          <w:szCs w:val="24"/>
        </w:rPr>
        <w:t>13</w:t>
      </w:r>
      <w:r w:rsidRPr="00760C76">
        <w:rPr>
          <w:rFonts w:ascii="Lora" w:hAnsi="Lora" w:cs="Times New Roman"/>
          <w:noProof/>
          <w:sz w:val="22"/>
          <w:szCs w:val="24"/>
        </w:rPr>
        <w:t>(6), e0199609. doi:10.1371/journal.pone.0199609</w:t>
      </w:r>
    </w:p>
    <w:p w14:paraId="5A74E5A0"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Piñol, J., Mir, G., Gomez-Polo, P., &amp; Agustí, N. (2015). Universal and blocking primer mismatches limit the use of high-throughput DNA sequencing for the quantitative metabarcoding of arthropods. </w:t>
      </w:r>
      <w:r w:rsidRPr="00760C76">
        <w:rPr>
          <w:rFonts w:ascii="Lora" w:hAnsi="Lora" w:cs="Times New Roman"/>
          <w:i/>
          <w:iCs/>
          <w:noProof/>
          <w:sz w:val="22"/>
          <w:szCs w:val="24"/>
        </w:rPr>
        <w:t>Molecular Ecology Resources</w:t>
      </w:r>
      <w:r w:rsidRPr="00760C76">
        <w:rPr>
          <w:rFonts w:ascii="Lora" w:hAnsi="Lora" w:cs="Times New Roman"/>
          <w:noProof/>
          <w:sz w:val="22"/>
          <w:szCs w:val="24"/>
        </w:rPr>
        <w:t xml:space="preserve">, </w:t>
      </w:r>
      <w:r w:rsidRPr="00760C76">
        <w:rPr>
          <w:rFonts w:ascii="Lora" w:hAnsi="Lora" w:cs="Times New Roman"/>
          <w:i/>
          <w:iCs/>
          <w:noProof/>
          <w:sz w:val="22"/>
          <w:szCs w:val="24"/>
        </w:rPr>
        <w:t>15</w:t>
      </w:r>
      <w:r w:rsidRPr="00760C76">
        <w:rPr>
          <w:rFonts w:ascii="Lora" w:hAnsi="Lora" w:cs="Times New Roman"/>
          <w:noProof/>
          <w:sz w:val="22"/>
          <w:szCs w:val="24"/>
        </w:rPr>
        <w:t>(4), 819–830. doi:10.1111/1755-0998.12355</w:t>
      </w:r>
    </w:p>
    <w:p w14:paraId="519A1D04"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Piñol, J., Senar, M. A., &amp; Symondson, W. O. C. (2019). The choice of universal primers and the characteristics of the species mixture determines when DNA metabarcoding can be quantitative. </w:t>
      </w:r>
      <w:r w:rsidRPr="00760C76">
        <w:rPr>
          <w:rFonts w:ascii="Lora" w:hAnsi="Lora" w:cs="Times New Roman"/>
          <w:i/>
          <w:iCs/>
          <w:noProof/>
          <w:sz w:val="22"/>
          <w:szCs w:val="24"/>
        </w:rPr>
        <w:t>Molecular Ecology</w:t>
      </w:r>
      <w:r w:rsidRPr="00760C76">
        <w:rPr>
          <w:rFonts w:ascii="Lora" w:hAnsi="Lora" w:cs="Times New Roman"/>
          <w:noProof/>
          <w:sz w:val="22"/>
          <w:szCs w:val="24"/>
        </w:rPr>
        <w:t xml:space="preserve">, </w:t>
      </w:r>
      <w:r w:rsidRPr="00760C76">
        <w:rPr>
          <w:rFonts w:ascii="Lora" w:hAnsi="Lora" w:cs="Times New Roman"/>
          <w:i/>
          <w:iCs/>
          <w:noProof/>
          <w:sz w:val="22"/>
          <w:szCs w:val="24"/>
        </w:rPr>
        <w:t>28</w:t>
      </w:r>
      <w:r w:rsidRPr="00760C76">
        <w:rPr>
          <w:rFonts w:ascii="Lora" w:hAnsi="Lora" w:cs="Times New Roman"/>
          <w:noProof/>
          <w:sz w:val="22"/>
          <w:szCs w:val="24"/>
        </w:rPr>
        <w:t>(May), 407– 419. doi:10.1111/mec.14776</w:t>
      </w:r>
    </w:p>
    <w:p w14:paraId="2057FFE4"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Piper, A. M., Batovska, J., Cogan, N. O. I., Weiss, J., Cunningham, J. P., Rodoni, B. C., &amp; Blacket, M. J. (2019). Prospects and challenges of implementing DNA metabarcoding for high-throughput insect surveillance. </w:t>
      </w:r>
      <w:r w:rsidRPr="00760C76">
        <w:rPr>
          <w:rFonts w:ascii="Lora" w:hAnsi="Lora" w:cs="Times New Roman"/>
          <w:i/>
          <w:iCs/>
          <w:noProof/>
          <w:sz w:val="22"/>
          <w:szCs w:val="24"/>
        </w:rPr>
        <w:t>GigaScience</w:t>
      </w:r>
      <w:r w:rsidRPr="00760C76">
        <w:rPr>
          <w:rFonts w:ascii="Lora" w:hAnsi="Lora" w:cs="Times New Roman"/>
          <w:noProof/>
          <w:sz w:val="22"/>
          <w:szCs w:val="24"/>
        </w:rPr>
        <w:t xml:space="preserve">, </w:t>
      </w:r>
      <w:r w:rsidRPr="00760C76">
        <w:rPr>
          <w:rFonts w:ascii="Lora" w:hAnsi="Lora" w:cs="Times New Roman"/>
          <w:i/>
          <w:iCs/>
          <w:noProof/>
          <w:sz w:val="22"/>
          <w:szCs w:val="24"/>
        </w:rPr>
        <w:t>8</w:t>
      </w:r>
      <w:r w:rsidRPr="00760C76">
        <w:rPr>
          <w:rFonts w:ascii="Lora" w:hAnsi="Lora" w:cs="Times New Roman"/>
          <w:noProof/>
          <w:sz w:val="22"/>
          <w:szCs w:val="24"/>
        </w:rPr>
        <w:t>(8), 1–22. doi:10.1093/gigascience/giz092</w:t>
      </w:r>
    </w:p>
    <w:p w14:paraId="6B0094B5"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Rennstam Rubbmark, O., Sint, D., Horngacher, N., &amp; Traugott, M. (2018). A broadly-applicable COI primer pair and an efficient single tube amplicon library preparation protocol for metabarcoding. </w:t>
      </w:r>
      <w:r w:rsidRPr="00760C76">
        <w:rPr>
          <w:rFonts w:ascii="Lora" w:hAnsi="Lora" w:cs="Times New Roman"/>
          <w:i/>
          <w:iCs/>
          <w:noProof/>
          <w:sz w:val="22"/>
          <w:szCs w:val="24"/>
        </w:rPr>
        <w:t>Ecology and Evolution</w:t>
      </w:r>
      <w:r w:rsidRPr="00760C76">
        <w:rPr>
          <w:rFonts w:ascii="Lora" w:hAnsi="Lora" w:cs="Times New Roman"/>
          <w:noProof/>
          <w:sz w:val="22"/>
          <w:szCs w:val="24"/>
        </w:rPr>
        <w:t xml:space="preserve">, </w:t>
      </w:r>
      <w:r w:rsidRPr="00760C76">
        <w:rPr>
          <w:rFonts w:ascii="Lora" w:hAnsi="Lora" w:cs="Times New Roman"/>
          <w:i/>
          <w:iCs/>
          <w:noProof/>
          <w:sz w:val="22"/>
          <w:szCs w:val="24"/>
        </w:rPr>
        <w:t>8</w:t>
      </w:r>
      <w:r w:rsidRPr="00760C76">
        <w:rPr>
          <w:rFonts w:ascii="Lora" w:hAnsi="Lora" w:cs="Times New Roman"/>
          <w:noProof/>
          <w:sz w:val="22"/>
          <w:szCs w:val="24"/>
        </w:rPr>
        <w:t>, 12335– 12350. doi:10.1016/S1872-2067(12)60761-X</w:t>
      </w:r>
    </w:p>
    <w:p w14:paraId="1055DD84"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Vamos, E. E., Elbrecht, V., &amp; Leese, F. (2017). Short COI markers for freshwater </w:t>
      </w:r>
      <w:r w:rsidRPr="00760C76">
        <w:rPr>
          <w:rFonts w:ascii="Lora" w:hAnsi="Lora" w:cs="Times New Roman"/>
          <w:noProof/>
          <w:sz w:val="22"/>
          <w:szCs w:val="24"/>
        </w:rPr>
        <w:lastRenderedPageBreak/>
        <w:t>macroinvertebrate metabarcoding, 1–20. doi:10.3897/mbmg.1.14625</w:t>
      </w:r>
    </w:p>
    <w:p w14:paraId="491FCADF"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Wilkinson, S. (2019). aphid: an R package for analysis with profile hidden Markov models. </w:t>
      </w:r>
      <w:r w:rsidRPr="00760C76">
        <w:rPr>
          <w:rFonts w:ascii="Lora" w:hAnsi="Lora" w:cs="Times New Roman"/>
          <w:i/>
          <w:iCs/>
          <w:noProof/>
          <w:sz w:val="22"/>
          <w:szCs w:val="24"/>
        </w:rPr>
        <w:t>Bioinformatics</w:t>
      </w:r>
      <w:r w:rsidRPr="00760C76">
        <w:rPr>
          <w:rFonts w:ascii="Lora" w:hAnsi="Lora" w:cs="Times New Roman"/>
          <w:noProof/>
          <w:sz w:val="22"/>
          <w:szCs w:val="24"/>
        </w:rPr>
        <w:t>. doi:10.1093/bioinformatics/btz159</w:t>
      </w:r>
    </w:p>
    <w:p w14:paraId="63B6B682"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Wilkinson, S. P., Davy, S. K., Bunce, M., &amp; Stat, M. (2018). Taxonomic identification of environmental DNA with informatic sequence classification trees. </w:t>
      </w:r>
      <w:r w:rsidRPr="00760C76">
        <w:rPr>
          <w:rFonts w:ascii="Lora" w:hAnsi="Lora" w:cs="Times New Roman"/>
          <w:i/>
          <w:iCs/>
          <w:noProof/>
          <w:sz w:val="22"/>
          <w:szCs w:val="24"/>
        </w:rPr>
        <w:t>PeerJ Preprints</w:t>
      </w:r>
      <w:r w:rsidRPr="00760C76">
        <w:rPr>
          <w:rFonts w:ascii="Lora" w:hAnsi="Lora" w:cs="Times New Roman"/>
          <w:noProof/>
          <w:sz w:val="22"/>
          <w:szCs w:val="24"/>
        </w:rPr>
        <w:t xml:space="preserve">, </w:t>
      </w:r>
      <w:r w:rsidRPr="00760C76">
        <w:rPr>
          <w:rFonts w:ascii="Lora" w:hAnsi="Lora" w:cs="Times New Roman"/>
          <w:i/>
          <w:iCs/>
          <w:noProof/>
          <w:sz w:val="22"/>
          <w:szCs w:val="24"/>
        </w:rPr>
        <w:t>6</w:t>
      </w:r>
      <w:r w:rsidRPr="00760C76">
        <w:rPr>
          <w:rFonts w:ascii="Lora" w:hAnsi="Lora" w:cs="Times New Roman"/>
          <w:noProof/>
          <w:sz w:val="22"/>
          <w:szCs w:val="24"/>
        </w:rPr>
        <w:t>, e26812v1. doi:10.7287/peerj.preprints.26812v1</w:t>
      </w:r>
    </w:p>
    <w:p w14:paraId="73848FD6" w14:textId="77777777" w:rsidR="00760C76" w:rsidRPr="00760C76" w:rsidRDefault="00760C76" w:rsidP="00760C76">
      <w:pPr>
        <w:widowControl w:val="0"/>
        <w:autoSpaceDE w:val="0"/>
        <w:autoSpaceDN w:val="0"/>
        <w:adjustRightInd w:val="0"/>
        <w:spacing w:after="160" w:line="360" w:lineRule="auto"/>
        <w:ind w:left="480" w:hanging="480"/>
        <w:rPr>
          <w:rFonts w:ascii="Lora" w:hAnsi="Lora" w:cs="Times New Roman"/>
          <w:noProof/>
          <w:sz w:val="22"/>
          <w:szCs w:val="24"/>
        </w:rPr>
      </w:pPr>
      <w:r w:rsidRPr="00760C76">
        <w:rPr>
          <w:rFonts w:ascii="Lora" w:hAnsi="Lora" w:cs="Times New Roman"/>
          <w:noProof/>
          <w:sz w:val="22"/>
          <w:szCs w:val="24"/>
        </w:rPr>
        <w:t xml:space="preserve">Winter, David, J. (2019). rentrez: An R package for the NCBI eUtils API. </w:t>
      </w:r>
      <w:r w:rsidRPr="00760C76">
        <w:rPr>
          <w:rFonts w:ascii="Lora" w:hAnsi="Lora" w:cs="Times New Roman"/>
          <w:i/>
          <w:iCs/>
          <w:noProof/>
          <w:sz w:val="22"/>
          <w:szCs w:val="24"/>
        </w:rPr>
        <w:t>The R Journal</w:t>
      </w:r>
      <w:r w:rsidRPr="00760C76">
        <w:rPr>
          <w:rFonts w:ascii="Lora" w:hAnsi="Lora" w:cs="Times New Roman"/>
          <w:noProof/>
          <w:sz w:val="22"/>
          <w:szCs w:val="24"/>
        </w:rPr>
        <w:t xml:space="preserve">, </w:t>
      </w:r>
      <w:r w:rsidRPr="00760C76">
        <w:rPr>
          <w:rFonts w:ascii="Lora" w:hAnsi="Lora" w:cs="Times New Roman"/>
          <w:i/>
          <w:iCs/>
          <w:noProof/>
          <w:sz w:val="22"/>
          <w:szCs w:val="24"/>
        </w:rPr>
        <w:t>9</w:t>
      </w:r>
      <w:r w:rsidRPr="00760C76">
        <w:rPr>
          <w:rFonts w:ascii="Lora" w:hAnsi="Lora" w:cs="Times New Roman"/>
          <w:noProof/>
          <w:sz w:val="22"/>
          <w:szCs w:val="24"/>
        </w:rPr>
        <w:t>(2), 520. doi:10.32614/rj-2017-058</w:t>
      </w:r>
    </w:p>
    <w:p w14:paraId="3F8EF330" w14:textId="77777777" w:rsidR="00760C76" w:rsidRPr="00760C76" w:rsidRDefault="00760C76" w:rsidP="00760C76">
      <w:pPr>
        <w:widowControl w:val="0"/>
        <w:autoSpaceDE w:val="0"/>
        <w:autoSpaceDN w:val="0"/>
        <w:adjustRightInd w:val="0"/>
        <w:spacing w:after="160" w:line="360" w:lineRule="auto"/>
        <w:ind w:left="480" w:hanging="480"/>
        <w:rPr>
          <w:rFonts w:ascii="Lora" w:hAnsi="Lora"/>
          <w:noProof/>
          <w:sz w:val="22"/>
        </w:rPr>
      </w:pPr>
      <w:r w:rsidRPr="00760C76">
        <w:rPr>
          <w:rFonts w:ascii="Lora" w:hAnsi="Lora" w:cs="Times New Roman"/>
          <w:noProof/>
          <w:sz w:val="22"/>
          <w:szCs w:val="24"/>
        </w:rPr>
        <w:t xml:space="preserve">Zeale, M. R. K., Butlin, R. K., Barker, G. L. A., Lees, D. C., &amp; Jones, G. (2011). Taxon-specific PCR for DNA barcoding arthropod prey in bat faeces. </w:t>
      </w:r>
      <w:r w:rsidRPr="00760C76">
        <w:rPr>
          <w:rFonts w:ascii="Lora" w:hAnsi="Lora" w:cs="Times New Roman"/>
          <w:i/>
          <w:iCs/>
          <w:noProof/>
          <w:sz w:val="22"/>
          <w:szCs w:val="24"/>
        </w:rPr>
        <w:t>Molecular Ecology Resources</w:t>
      </w:r>
      <w:r w:rsidRPr="00760C76">
        <w:rPr>
          <w:rFonts w:ascii="Lora" w:hAnsi="Lora" w:cs="Times New Roman"/>
          <w:noProof/>
          <w:sz w:val="22"/>
          <w:szCs w:val="24"/>
        </w:rPr>
        <w:t>. doi:10.1111/j.1755-0998.2010.02920.x</w:t>
      </w:r>
    </w:p>
    <w:p w14:paraId="6065AB65" w14:textId="77777777" w:rsidR="001F6AD2" w:rsidRPr="00E33E6A" w:rsidRDefault="0016608D" w:rsidP="001F6AD2">
      <w:pPr>
        <w:pStyle w:val="Heading1"/>
        <w:rPr>
          <w:rFonts w:ascii="Lora" w:hAnsi="Lora"/>
          <w:sz w:val="22"/>
          <w:szCs w:val="22"/>
        </w:rPr>
      </w:pPr>
      <w:r w:rsidRPr="00E33E6A">
        <w:rPr>
          <w:rFonts w:ascii="Lora" w:hAnsi="Lora"/>
          <w:sz w:val="22"/>
          <w:szCs w:val="22"/>
        </w:rPr>
        <w:fldChar w:fldCharType="end"/>
      </w:r>
    </w:p>
    <w:p w14:paraId="70E85503" w14:textId="77777777" w:rsidR="001F6AD2" w:rsidRPr="00E33E6A" w:rsidRDefault="001F6AD2">
      <w:pPr>
        <w:spacing w:after="160" w:line="259" w:lineRule="auto"/>
        <w:rPr>
          <w:rFonts w:ascii="Lora" w:eastAsiaTheme="majorEastAsia" w:hAnsi="Lora" w:cstheme="majorBidi"/>
          <w:color w:val="000000" w:themeColor="text1"/>
          <w:sz w:val="22"/>
        </w:rPr>
      </w:pPr>
      <w:r w:rsidRPr="00E33E6A">
        <w:rPr>
          <w:rFonts w:ascii="Lora" w:hAnsi="Lora"/>
          <w:sz w:val="22"/>
        </w:rPr>
        <w:br w:type="page"/>
      </w:r>
    </w:p>
    <w:p w14:paraId="47D34F89" w14:textId="77777777" w:rsidR="001F6AD2" w:rsidRPr="00E33E6A" w:rsidRDefault="001F6AD2" w:rsidP="001F6AD2">
      <w:pPr>
        <w:pStyle w:val="Heading1"/>
        <w:rPr>
          <w:rFonts w:ascii="Lora" w:hAnsi="Lora"/>
          <w:sz w:val="22"/>
          <w:szCs w:val="22"/>
        </w:rPr>
        <w:sectPr w:rsidR="001F6AD2" w:rsidRPr="00E33E6A">
          <w:pgSz w:w="11906" w:h="16838"/>
          <w:pgMar w:top="1440" w:right="1440" w:bottom="1440" w:left="1440" w:header="708" w:footer="708" w:gutter="0"/>
          <w:cols w:space="708"/>
          <w:docGrid w:linePitch="360"/>
        </w:sectPr>
      </w:pPr>
    </w:p>
    <w:p w14:paraId="4FC4198E" w14:textId="45C1218E" w:rsidR="0016608D" w:rsidRPr="00E33E6A" w:rsidRDefault="001F6AD2" w:rsidP="001F6AD2">
      <w:pPr>
        <w:pStyle w:val="Heading1"/>
        <w:rPr>
          <w:rFonts w:ascii="Lora" w:hAnsi="Lora"/>
          <w:sz w:val="22"/>
          <w:szCs w:val="22"/>
        </w:rPr>
      </w:pPr>
      <w:r w:rsidRPr="00E33E6A">
        <w:rPr>
          <w:rFonts w:ascii="Lora" w:hAnsi="Lora"/>
          <w:sz w:val="22"/>
          <w:szCs w:val="22"/>
        </w:rPr>
        <w:lastRenderedPageBreak/>
        <w:t>Tables</w:t>
      </w:r>
    </w:p>
    <w:tbl>
      <w:tblPr>
        <w:tblW w:w="5000" w:type="pct"/>
        <w:tblLook w:val="04A0" w:firstRow="1" w:lastRow="0" w:firstColumn="1" w:lastColumn="0" w:noHBand="0" w:noVBand="1"/>
      </w:tblPr>
      <w:tblGrid>
        <w:gridCol w:w="1488"/>
        <w:gridCol w:w="1897"/>
        <w:gridCol w:w="474"/>
        <w:gridCol w:w="1626"/>
        <w:gridCol w:w="481"/>
        <w:gridCol w:w="574"/>
        <w:gridCol w:w="2466"/>
      </w:tblGrid>
      <w:tr w:rsidR="00C82015" w:rsidRPr="00E33E6A" w14:paraId="126644F6" w14:textId="77777777" w:rsidTr="00C82015">
        <w:trPr>
          <w:trHeight w:val="615"/>
        </w:trPr>
        <w:tc>
          <w:tcPr>
            <w:tcW w:w="885" w:type="pct"/>
            <w:tcBorders>
              <w:top w:val="nil"/>
              <w:left w:val="single" w:sz="8" w:space="0" w:color="auto"/>
              <w:bottom w:val="single" w:sz="8" w:space="0" w:color="auto"/>
              <w:right w:val="single" w:sz="8" w:space="0" w:color="auto"/>
            </w:tcBorders>
            <w:shd w:val="clear" w:color="auto" w:fill="auto"/>
            <w:vAlign w:val="center"/>
            <w:hideMark/>
          </w:tcPr>
          <w:p w14:paraId="4874439E" w14:textId="77777777"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Name</w:t>
            </w:r>
          </w:p>
        </w:tc>
        <w:tc>
          <w:tcPr>
            <w:tcW w:w="913" w:type="pct"/>
            <w:tcBorders>
              <w:top w:val="nil"/>
              <w:left w:val="nil"/>
              <w:bottom w:val="single" w:sz="8" w:space="0" w:color="auto"/>
              <w:right w:val="single" w:sz="8" w:space="0" w:color="auto"/>
            </w:tcBorders>
            <w:shd w:val="clear" w:color="auto" w:fill="auto"/>
            <w:vAlign w:val="center"/>
            <w:hideMark/>
          </w:tcPr>
          <w:p w14:paraId="1B2724AF" w14:textId="77777777" w:rsidR="00C82015" w:rsidRPr="00E33E6A" w:rsidRDefault="00C82015" w:rsidP="001F6AD2">
            <w:pPr>
              <w:spacing w:after="0" w:line="240" w:lineRule="auto"/>
              <w:rPr>
                <w:rFonts w:ascii="Lora" w:eastAsia="Times New Roman" w:hAnsi="Lora" w:cs="Courier New"/>
                <w:color w:val="000000"/>
                <w:sz w:val="22"/>
                <w:lang w:eastAsia="en-AU"/>
              </w:rPr>
            </w:pPr>
            <w:proofErr w:type="spellStart"/>
            <w:r w:rsidRPr="00E33E6A">
              <w:rPr>
                <w:rFonts w:ascii="Lora" w:eastAsia="Times New Roman" w:hAnsi="Lora" w:cs="Courier New"/>
                <w:color w:val="000000"/>
                <w:sz w:val="22"/>
                <w:lang w:eastAsia="en-AU"/>
              </w:rPr>
              <w:t>F.seq</w:t>
            </w:r>
            <w:proofErr w:type="spellEnd"/>
          </w:p>
        </w:tc>
        <w:tc>
          <w:tcPr>
            <w:tcW w:w="273" w:type="pct"/>
            <w:tcBorders>
              <w:top w:val="nil"/>
              <w:left w:val="nil"/>
              <w:bottom w:val="single" w:sz="8" w:space="0" w:color="auto"/>
              <w:right w:val="single" w:sz="8" w:space="0" w:color="auto"/>
            </w:tcBorders>
            <w:shd w:val="clear" w:color="auto" w:fill="auto"/>
            <w:vAlign w:val="center"/>
            <w:hideMark/>
          </w:tcPr>
          <w:p w14:paraId="47B71E32" w14:textId="77777777" w:rsidR="00C82015" w:rsidRPr="00E33E6A" w:rsidRDefault="00C82015" w:rsidP="001F6AD2">
            <w:pPr>
              <w:spacing w:after="0" w:line="240" w:lineRule="auto"/>
              <w:rPr>
                <w:rFonts w:ascii="Lora" w:eastAsia="Times New Roman" w:hAnsi="Lora" w:cs="Courier New"/>
                <w:color w:val="000000"/>
                <w:sz w:val="22"/>
                <w:lang w:eastAsia="en-AU"/>
              </w:rPr>
            </w:pPr>
            <w:proofErr w:type="spellStart"/>
            <w:proofErr w:type="gramStart"/>
            <w:r w:rsidRPr="00E33E6A">
              <w:rPr>
                <w:rFonts w:ascii="Lora" w:eastAsia="Times New Roman" w:hAnsi="Lora" w:cs="Courier New"/>
                <w:color w:val="000000"/>
                <w:sz w:val="22"/>
                <w:lang w:eastAsia="en-AU"/>
              </w:rPr>
              <w:t>F.Start</w:t>
            </w:r>
            <w:proofErr w:type="spellEnd"/>
            <w:proofErr w:type="gramEnd"/>
          </w:p>
        </w:tc>
        <w:tc>
          <w:tcPr>
            <w:tcW w:w="746" w:type="pct"/>
            <w:tcBorders>
              <w:top w:val="nil"/>
              <w:left w:val="nil"/>
              <w:bottom w:val="single" w:sz="8" w:space="0" w:color="auto"/>
              <w:right w:val="single" w:sz="8" w:space="0" w:color="auto"/>
            </w:tcBorders>
            <w:shd w:val="clear" w:color="auto" w:fill="auto"/>
            <w:vAlign w:val="center"/>
            <w:hideMark/>
          </w:tcPr>
          <w:p w14:paraId="323F47BB" w14:textId="77777777" w:rsidR="00C82015" w:rsidRPr="00E33E6A" w:rsidRDefault="00C82015" w:rsidP="001F6AD2">
            <w:pPr>
              <w:spacing w:after="0" w:line="240" w:lineRule="auto"/>
              <w:rPr>
                <w:rFonts w:ascii="Lora" w:eastAsia="Times New Roman" w:hAnsi="Lora" w:cs="Courier New"/>
                <w:color w:val="000000"/>
                <w:sz w:val="22"/>
                <w:lang w:eastAsia="en-AU"/>
              </w:rPr>
            </w:pPr>
            <w:proofErr w:type="spellStart"/>
            <w:r w:rsidRPr="00E33E6A">
              <w:rPr>
                <w:rFonts w:ascii="Lora" w:eastAsia="Times New Roman" w:hAnsi="Lora" w:cs="Courier New"/>
                <w:color w:val="000000"/>
                <w:sz w:val="22"/>
                <w:lang w:eastAsia="en-AU"/>
              </w:rPr>
              <w:t>R.seq</w:t>
            </w:r>
            <w:proofErr w:type="spellEnd"/>
          </w:p>
        </w:tc>
        <w:tc>
          <w:tcPr>
            <w:tcW w:w="273" w:type="pct"/>
            <w:tcBorders>
              <w:top w:val="nil"/>
              <w:left w:val="nil"/>
              <w:bottom w:val="single" w:sz="8" w:space="0" w:color="auto"/>
              <w:right w:val="single" w:sz="8" w:space="0" w:color="auto"/>
            </w:tcBorders>
            <w:shd w:val="clear" w:color="auto" w:fill="auto"/>
            <w:vAlign w:val="center"/>
            <w:hideMark/>
          </w:tcPr>
          <w:p w14:paraId="40AFA7DA" w14:textId="77777777" w:rsidR="00C82015" w:rsidRPr="00E33E6A" w:rsidRDefault="00C82015" w:rsidP="001F6AD2">
            <w:pPr>
              <w:spacing w:after="0" w:line="240" w:lineRule="auto"/>
              <w:rPr>
                <w:rFonts w:ascii="Lora" w:eastAsia="Times New Roman" w:hAnsi="Lora" w:cs="Courier New"/>
                <w:color w:val="000000"/>
                <w:sz w:val="22"/>
                <w:lang w:eastAsia="en-AU"/>
              </w:rPr>
            </w:pPr>
            <w:proofErr w:type="spellStart"/>
            <w:proofErr w:type="gramStart"/>
            <w:r w:rsidRPr="00E33E6A">
              <w:rPr>
                <w:rFonts w:ascii="Lora" w:eastAsia="Times New Roman" w:hAnsi="Lora" w:cs="Courier New"/>
                <w:color w:val="000000"/>
                <w:sz w:val="22"/>
                <w:lang w:eastAsia="en-AU"/>
              </w:rPr>
              <w:t>R.Start</w:t>
            </w:r>
            <w:proofErr w:type="spellEnd"/>
            <w:proofErr w:type="gramEnd"/>
          </w:p>
        </w:tc>
        <w:tc>
          <w:tcPr>
            <w:tcW w:w="301" w:type="pct"/>
            <w:tcBorders>
              <w:top w:val="nil"/>
              <w:left w:val="nil"/>
              <w:bottom w:val="single" w:sz="8" w:space="0" w:color="auto"/>
              <w:right w:val="single" w:sz="8" w:space="0" w:color="auto"/>
            </w:tcBorders>
            <w:shd w:val="clear" w:color="auto" w:fill="auto"/>
            <w:vAlign w:val="center"/>
            <w:hideMark/>
          </w:tcPr>
          <w:p w14:paraId="5F98098F" w14:textId="77777777"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amplicon</w:t>
            </w:r>
          </w:p>
        </w:tc>
        <w:tc>
          <w:tcPr>
            <w:tcW w:w="1610" w:type="pct"/>
            <w:tcBorders>
              <w:top w:val="nil"/>
              <w:left w:val="nil"/>
              <w:bottom w:val="single" w:sz="8" w:space="0" w:color="auto"/>
              <w:right w:val="single" w:sz="8" w:space="0" w:color="auto"/>
            </w:tcBorders>
            <w:shd w:val="clear" w:color="auto" w:fill="auto"/>
            <w:vAlign w:val="center"/>
            <w:hideMark/>
          </w:tcPr>
          <w:p w14:paraId="66B394F4" w14:textId="77777777"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study</w:t>
            </w:r>
          </w:p>
        </w:tc>
      </w:tr>
      <w:tr w:rsidR="00C82015" w:rsidRPr="00E33E6A" w14:paraId="57E788D8" w14:textId="77777777" w:rsidTr="00C82015">
        <w:trPr>
          <w:trHeight w:val="300"/>
        </w:trPr>
        <w:tc>
          <w:tcPr>
            <w:tcW w:w="885" w:type="pct"/>
            <w:tcBorders>
              <w:top w:val="nil"/>
              <w:left w:val="nil"/>
              <w:bottom w:val="nil"/>
              <w:right w:val="nil"/>
            </w:tcBorders>
            <w:shd w:val="clear" w:color="000000" w:fill="D9E1F2"/>
            <w:noWrap/>
            <w:vAlign w:val="bottom"/>
            <w:hideMark/>
          </w:tcPr>
          <w:p w14:paraId="78704F8E" w14:textId="77777777"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BF1-BR1</w:t>
            </w:r>
          </w:p>
        </w:tc>
        <w:tc>
          <w:tcPr>
            <w:tcW w:w="913" w:type="pct"/>
            <w:tcBorders>
              <w:top w:val="single" w:sz="4" w:space="0" w:color="7F7F7F"/>
              <w:left w:val="nil"/>
              <w:bottom w:val="single" w:sz="4" w:space="0" w:color="7F7F7F"/>
              <w:right w:val="single" w:sz="4" w:space="0" w:color="7F7F7F"/>
            </w:tcBorders>
            <w:shd w:val="clear" w:color="000000" w:fill="D9E1F2"/>
            <w:vAlign w:val="center"/>
            <w:hideMark/>
          </w:tcPr>
          <w:p w14:paraId="774B38E7" w14:textId="77777777"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ACWGGWTGRACWGTNTAYCC</w:t>
            </w:r>
          </w:p>
        </w:tc>
        <w:tc>
          <w:tcPr>
            <w:tcW w:w="273" w:type="pct"/>
            <w:tcBorders>
              <w:top w:val="single" w:sz="4" w:space="0" w:color="7F7F7F"/>
              <w:left w:val="nil"/>
              <w:bottom w:val="single" w:sz="4" w:space="0" w:color="7F7F7F"/>
              <w:right w:val="single" w:sz="4" w:space="0" w:color="7F7F7F"/>
            </w:tcBorders>
            <w:shd w:val="clear" w:color="000000" w:fill="D9E1F2"/>
            <w:vAlign w:val="center"/>
            <w:hideMark/>
          </w:tcPr>
          <w:p w14:paraId="1BD300B0" w14:textId="77777777" w:rsidR="00C82015" w:rsidRPr="00E33E6A" w:rsidRDefault="00C82015" w:rsidP="001F6AD2">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326</w:t>
            </w:r>
          </w:p>
        </w:tc>
        <w:tc>
          <w:tcPr>
            <w:tcW w:w="746" w:type="pct"/>
            <w:tcBorders>
              <w:top w:val="single" w:sz="4" w:space="0" w:color="7F7F7F"/>
              <w:left w:val="nil"/>
              <w:bottom w:val="single" w:sz="4" w:space="0" w:color="7F7F7F"/>
              <w:right w:val="single" w:sz="4" w:space="0" w:color="7F7F7F"/>
            </w:tcBorders>
            <w:shd w:val="clear" w:color="000000" w:fill="D9E1F2"/>
            <w:vAlign w:val="center"/>
            <w:hideMark/>
          </w:tcPr>
          <w:p w14:paraId="52296ECB" w14:textId="77777777"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ARYATDGTRATDGCHCCDGC</w:t>
            </w:r>
          </w:p>
        </w:tc>
        <w:tc>
          <w:tcPr>
            <w:tcW w:w="273" w:type="pct"/>
            <w:tcBorders>
              <w:top w:val="nil"/>
              <w:left w:val="nil"/>
              <w:bottom w:val="nil"/>
              <w:right w:val="nil"/>
            </w:tcBorders>
            <w:shd w:val="clear" w:color="000000" w:fill="D9E1F2"/>
            <w:noWrap/>
            <w:vAlign w:val="bottom"/>
            <w:hideMark/>
          </w:tcPr>
          <w:p w14:paraId="1A8C560A" w14:textId="77777777" w:rsidR="00C82015" w:rsidRPr="00E33E6A" w:rsidRDefault="00C82015" w:rsidP="001F6AD2">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563</w:t>
            </w:r>
          </w:p>
        </w:tc>
        <w:tc>
          <w:tcPr>
            <w:tcW w:w="301" w:type="pct"/>
            <w:tcBorders>
              <w:top w:val="single" w:sz="4" w:space="0" w:color="7F7F7F"/>
              <w:left w:val="nil"/>
              <w:bottom w:val="single" w:sz="4" w:space="0" w:color="7F7F7F"/>
              <w:right w:val="single" w:sz="4" w:space="0" w:color="7F7F7F"/>
            </w:tcBorders>
            <w:shd w:val="clear" w:color="000000" w:fill="D9E1F2"/>
            <w:vAlign w:val="center"/>
            <w:hideMark/>
          </w:tcPr>
          <w:p w14:paraId="1A542D1C" w14:textId="77777777" w:rsidR="00C82015" w:rsidRPr="00E33E6A" w:rsidRDefault="00C82015" w:rsidP="001F6AD2">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218</w:t>
            </w:r>
          </w:p>
        </w:tc>
        <w:tc>
          <w:tcPr>
            <w:tcW w:w="1610" w:type="pct"/>
            <w:tcBorders>
              <w:top w:val="single" w:sz="4" w:space="0" w:color="7F7F7F"/>
              <w:left w:val="nil"/>
              <w:bottom w:val="single" w:sz="4" w:space="0" w:color="7F7F7F"/>
              <w:right w:val="single" w:sz="4" w:space="0" w:color="7F7F7F"/>
            </w:tcBorders>
            <w:shd w:val="clear" w:color="000000" w:fill="D9E1F2"/>
            <w:noWrap/>
            <w:vAlign w:val="bottom"/>
          </w:tcPr>
          <w:p w14:paraId="2A53476A" w14:textId="329F2661"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fldChar w:fldCharType="begin" w:fldLock="1"/>
            </w:r>
            <w:r w:rsidRPr="00E33E6A">
              <w:rPr>
                <w:rFonts w:ascii="Lora" w:eastAsia="Times New Roman" w:hAnsi="Lora" w:cs="Courier New"/>
                <w:color w:val="000000"/>
                <w:sz w:val="22"/>
                <w:lang w:eastAsia="en-AU"/>
              </w:rPr>
              <w:instrText>ADDIN CSL_CITATION {"citationItems":[{"id":"ITEM-1","itemData":{"DOI":"10.3389/fenvs.2017.00011","ISBN":"e2044v4","ISSN":"2296-665X","PMID":"27114891","abstract":"A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Science","id":"ITEM-1","issued":{"date-parts":[["2017"]]},"page":"11","title":"Validation and Development of COI Metabarcoding Primers for Freshwater Macroinvertebrate Bioassessment","type":"article-journal","volume":"5"},"uris":["http://www.mendeley.com/documents/?uuid=f4d80375-d8d1-414d-a2fd-fd05057a5a39"]}],"mendeley":{"formattedCitation":"(Elbrecht &amp; Leese, 2017b)","plainTextFormattedCitation":"(Elbrecht &amp; Leese, 2017b)","previouslyFormattedCitation":"(Elbrecht &amp; Leese, 2017b)"},"properties":{"noteIndex":0},"schema":"https://github.com/citation-style-language/schema/raw/master/csl-citation.json"}</w:instrText>
            </w:r>
            <w:r w:rsidRPr="00E33E6A">
              <w:rPr>
                <w:rFonts w:ascii="Lora" w:eastAsia="Times New Roman" w:hAnsi="Lora" w:cs="Courier New"/>
                <w:color w:val="000000"/>
                <w:sz w:val="22"/>
                <w:lang w:eastAsia="en-AU"/>
              </w:rPr>
              <w:fldChar w:fldCharType="separate"/>
            </w:r>
            <w:r w:rsidRPr="00E33E6A">
              <w:rPr>
                <w:rFonts w:ascii="Lora" w:eastAsia="Times New Roman" w:hAnsi="Lora" w:cs="Courier New"/>
                <w:noProof/>
                <w:color w:val="000000"/>
                <w:sz w:val="22"/>
                <w:lang w:eastAsia="en-AU"/>
              </w:rPr>
              <w:t>(Elbrecht &amp; Leese, 2017b)</w:t>
            </w:r>
            <w:r w:rsidRPr="00E33E6A">
              <w:rPr>
                <w:rFonts w:ascii="Lora" w:eastAsia="Times New Roman" w:hAnsi="Lora" w:cs="Courier New"/>
                <w:color w:val="000000"/>
                <w:sz w:val="22"/>
                <w:lang w:eastAsia="en-AU"/>
              </w:rPr>
              <w:fldChar w:fldCharType="end"/>
            </w:r>
          </w:p>
        </w:tc>
      </w:tr>
      <w:tr w:rsidR="00C82015" w:rsidRPr="00E33E6A" w14:paraId="0B66705D" w14:textId="77777777" w:rsidTr="00C82015">
        <w:trPr>
          <w:trHeight w:val="300"/>
        </w:trPr>
        <w:tc>
          <w:tcPr>
            <w:tcW w:w="885" w:type="pct"/>
            <w:tcBorders>
              <w:top w:val="nil"/>
              <w:left w:val="nil"/>
              <w:bottom w:val="nil"/>
              <w:right w:val="nil"/>
            </w:tcBorders>
            <w:shd w:val="clear" w:color="000000" w:fill="D9E1F2"/>
            <w:noWrap/>
            <w:vAlign w:val="bottom"/>
            <w:hideMark/>
          </w:tcPr>
          <w:p w14:paraId="6879B06A" w14:textId="77777777"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fwhF2-fwhR2n</w:t>
            </w:r>
          </w:p>
        </w:tc>
        <w:tc>
          <w:tcPr>
            <w:tcW w:w="913" w:type="pct"/>
            <w:tcBorders>
              <w:top w:val="nil"/>
              <w:left w:val="nil"/>
              <w:bottom w:val="nil"/>
              <w:right w:val="nil"/>
            </w:tcBorders>
            <w:shd w:val="clear" w:color="000000" w:fill="D9E1F2"/>
            <w:noWrap/>
            <w:vAlign w:val="bottom"/>
            <w:hideMark/>
          </w:tcPr>
          <w:p w14:paraId="6BC1AC64" w14:textId="77777777"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GGDACWGGWTGAACWGTWTAYCCHCC</w:t>
            </w:r>
          </w:p>
        </w:tc>
        <w:tc>
          <w:tcPr>
            <w:tcW w:w="273" w:type="pct"/>
            <w:tcBorders>
              <w:top w:val="nil"/>
              <w:left w:val="nil"/>
              <w:bottom w:val="nil"/>
              <w:right w:val="nil"/>
            </w:tcBorders>
            <w:shd w:val="clear" w:color="000000" w:fill="D9E1F2"/>
            <w:noWrap/>
            <w:vAlign w:val="bottom"/>
            <w:hideMark/>
          </w:tcPr>
          <w:p w14:paraId="7FFF70BC" w14:textId="77777777" w:rsidR="00C82015" w:rsidRPr="00E33E6A" w:rsidRDefault="00C82015" w:rsidP="001F6AD2">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323</w:t>
            </w:r>
          </w:p>
        </w:tc>
        <w:tc>
          <w:tcPr>
            <w:tcW w:w="746" w:type="pct"/>
            <w:tcBorders>
              <w:top w:val="nil"/>
              <w:left w:val="nil"/>
              <w:bottom w:val="nil"/>
              <w:right w:val="nil"/>
            </w:tcBorders>
            <w:shd w:val="clear" w:color="000000" w:fill="D9E1F2"/>
            <w:noWrap/>
            <w:vAlign w:val="bottom"/>
            <w:hideMark/>
          </w:tcPr>
          <w:p w14:paraId="3BB58AEE" w14:textId="77777777"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GTRATWGCHCCDGCTARWACWGG</w:t>
            </w:r>
          </w:p>
        </w:tc>
        <w:tc>
          <w:tcPr>
            <w:tcW w:w="273" w:type="pct"/>
            <w:tcBorders>
              <w:top w:val="nil"/>
              <w:left w:val="nil"/>
              <w:bottom w:val="nil"/>
              <w:right w:val="nil"/>
            </w:tcBorders>
            <w:shd w:val="clear" w:color="000000" w:fill="D9E1F2"/>
            <w:noWrap/>
            <w:vAlign w:val="bottom"/>
            <w:hideMark/>
          </w:tcPr>
          <w:p w14:paraId="3E9FA973" w14:textId="77777777" w:rsidR="00C82015" w:rsidRPr="00E33E6A" w:rsidRDefault="00C82015" w:rsidP="001F6AD2">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544</w:t>
            </w:r>
          </w:p>
        </w:tc>
        <w:tc>
          <w:tcPr>
            <w:tcW w:w="301" w:type="pct"/>
            <w:tcBorders>
              <w:top w:val="single" w:sz="4" w:space="0" w:color="7F7F7F"/>
              <w:left w:val="single" w:sz="4" w:space="0" w:color="7F7F7F"/>
              <w:bottom w:val="single" w:sz="4" w:space="0" w:color="7F7F7F"/>
              <w:right w:val="single" w:sz="4" w:space="0" w:color="7F7F7F"/>
            </w:tcBorders>
            <w:shd w:val="clear" w:color="000000" w:fill="D9E1F2"/>
            <w:vAlign w:val="center"/>
            <w:hideMark/>
          </w:tcPr>
          <w:p w14:paraId="0133CBA0" w14:textId="77777777" w:rsidR="00C82015" w:rsidRPr="00E33E6A" w:rsidRDefault="00C82015" w:rsidP="001F6AD2">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196</w:t>
            </w:r>
          </w:p>
        </w:tc>
        <w:tc>
          <w:tcPr>
            <w:tcW w:w="1610" w:type="pct"/>
            <w:tcBorders>
              <w:top w:val="nil"/>
              <w:left w:val="nil"/>
              <w:bottom w:val="nil"/>
              <w:right w:val="nil"/>
            </w:tcBorders>
            <w:shd w:val="clear" w:color="000000" w:fill="D9E1F2"/>
            <w:noWrap/>
            <w:vAlign w:val="bottom"/>
          </w:tcPr>
          <w:p w14:paraId="3B17640F" w14:textId="2E065810" w:rsidR="00C82015" w:rsidRPr="00E33E6A" w:rsidRDefault="00C82015" w:rsidP="001F6AD2">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fldChar w:fldCharType="begin" w:fldLock="1"/>
            </w:r>
            <w:r w:rsidRPr="00E33E6A">
              <w:rPr>
                <w:rFonts w:ascii="Lora" w:eastAsia="Times New Roman" w:hAnsi="Lora" w:cs="Courier New"/>
                <w:color w:val="000000"/>
                <w:sz w:val="22"/>
                <w:lang w:eastAsia="en-AU"/>
              </w:rPr>
              <w:instrText>ADDIN CSL_CITATION {"citationItems":[{"id":"ITEM-1","itemData":{"DOI":"10.3897/mbmg.1.14625","author":[{"dropping-particle":"","family":"Vamos","given":"Ecaterina Edith","non-dropping-particle":"","parse-names":false,"suffix":""},{"dropping-particle":"","family":"Elbrecht","given":"Vasco","non-dropping-particle":"","parse-names":false,"suffix":""},{"dropping-particle":"","family":"Leese","given":"Florian","non-dropping-particle":"","parse-names":false,"suffix":""}],"id":"ITEM-1","issued":{"date-parts":[["2017"]]},"page":"1-20","title":"Short COI markers for freshwater macroinvertebrate metabarcoding","type":"article-journal"},"uris":["http://www.mendeley.com/documents/?uuid=d6f0db95-9a90-46e6-8654-916e91c260eb"]}],"mendeley":{"formattedCitation":"(Vamos, Elbrecht, &amp; Leese, 2017)","plainTextFormattedCitation":"(Vamos, Elbrecht, &amp; Leese, 2017)","previouslyFormattedCitation":"(Vamos, Elbrecht, &amp; Leese, 2017)"},"properties":{"noteIndex":0},"schema":"https://github.com/citation-style-language/schema/raw/master/csl-citation.json"}</w:instrText>
            </w:r>
            <w:r w:rsidRPr="00E33E6A">
              <w:rPr>
                <w:rFonts w:ascii="Lora" w:eastAsia="Times New Roman" w:hAnsi="Lora" w:cs="Courier New"/>
                <w:color w:val="000000"/>
                <w:sz w:val="22"/>
                <w:lang w:eastAsia="en-AU"/>
              </w:rPr>
              <w:fldChar w:fldCharType="separate"/>
            </w:r>
            <w:r w:rsidRPr="00E33E6A">
              <w:rPr>
                <w:rFonts w:ascii="Lora" w:eastAsia="Times New Roman" w:hAnsi="Lora" w:cs="Courier New"/>
                <w:noProof/>
                <w:color w:val="000000"/>
                <w:sz w:val="22"/>
                <w:lang w:eastAsia="en-AU"/>
              </w:rPr>
              <w:t>(Vamos, Elbrecht, &amp; Leese, 2017)</w:t>
            </w:r>
            <w:r w:rsidRPr="00E33E6A">
              <w:rPr>
                <w:rFonts w:ascii="Lora" w:eastAsia="Times New Roman" w:hAnsi="Lora" w:cs="Courier New"/>
                <w:color w:val="000000"/>
                <w:sz w:val="22"/>
                <w:lang w:eastAsia="en-AU"/>
              </w:rPr>
              <w:fldChar w:fldCharType="end"/>
            </w:r>
          </w:p>
        </w:tc>
      </w:tr>
      <w:tr w:rsidR="00C82015" w:rsidRPr="00E33E6A" w14:paraId="2583FEA9" w14:textId="77777777" w:rsidTr="00C82015">
        <w:trPr>
          <w:trHeight w:val="300"/>
        </w:trPr>
        <w:tc>
          <w:tcPr>
            <w:tcW w:w="885" w:type="pct"/>
            <w:tcBorders>
              <w:top w:val="nil"/>
              <w:left w:val="nil"/>
              <w:bottom w:val="nil"/>
              <w:right w:val="nil"/>
            </w:tcBorders>
            <w:shd w:val="clear" w:color="auto" w:fill="auto"/>
            <w:noWrap/>
            <w:vAlign w:val="bottom"/>
            <w:hideMark/>
          </w:tcPr>
          <w:p w14:paraId="73F167B7"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fwhF1-fwhR1</w:t>
            </w:r>
          </w:p>
        </w:tc>
        <w:tc>
          <w:tcPr>
            <w:tcW w:w="913" w:type="pct"/>
            <w:tcBorders>
              <w:top w:val="nil"/>
              <w:left w:val="nil"/>
              <w:bottom w:val="nil"/>
              <w:right w:val="nil"/>
            </w:tcBorders>
            <w:shd w:val="clear" w:color="auto" w:fill="auto"/>
            <w:noWrap/>
            <w:vAlign w:val="bottom"/>
            <w:hideMark/>
          </w:tcPr>
          <w:p w14:paraId="0FDB4FB5"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YTCHACWAAYCAYAARGAYATYGG</w:t>
            </w:r>
          </w:p>
        </w:tc>
        <w:tc>
          <w:tcPr>
            <w:tcW w:w="273" w:type="pct"/>
            <w:tcBorders>
              <w:top w:val="nil"/>
              <w:left w:val="nil"/>
              <w:bottom w:val="nil"/>
              <w:right w:val="nil"/>
            </w:tcBorders>
            <w:shd w:val="clear" w:color="auto" w:fill="auto"/>
            <w:noWrap/>
            <w:vAlign w:val="bottom"/>
            <w:hideMark/>
          </w:tcPr>
          <w:p w14:paraId="6B8D9B22"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-23</w:t>
            </w:r>
          </w:p>
        </w:tc>
        <w:tc>
          <w:tcPr>
            <w:tcW w:w="746" w:type="pct"/>
            <w:tcBorders>
              <w:top w:val="nil"/>
              <w:left w:val="nil"/>
              <w:bottom w:val="nil"/>
              <w:right w:val="nil"/>
            </w:tcBorders>
            <w:shd w:val="clear" w:color="auto" w:fill="auto"/>
            <w:noWrap/>
            <w:vAlign w:val="bottom"/>
            <w:hideMark/>
          </w:tcPr>
          <w:p w14:paraId="7F9E3B31"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ARTCARTTWCCRAAHCCHCC</w:t>
            </w:r>
          </w:p>
        </w:tc>
        <w:tc>
          <w:tcPr>
            <w:tcW w:w="273" w:type="pct"/>
            <w:tcBorders>
              <w:top w:val="nil"/>
              <w:left w:val="nil"/>
              <w:bottom w:val="nil"/>
              <w:right w:val="nil"/>
            </w:tcBorders>
            <w:shd w:val="clear" w:color="auto" w:fill="auto"/>
            <w:noWrap/>
            <w:vAlign w:val="bottom"/>
            <w:hideMark/>
          </w:tcPr>
          <w:p w14:paraId="7451C3B4"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182</w:t>
            </w:r>
          </w:p>
        </w:tc>
        <w:tc>
          <w:tcPr>
            <w:tcW w:w="301" w:type="pct"/>
            <w:tcBorders>
              <w:top w:val="nil"/>
              <w:left w:val="nil"/>
              <w:bottom w:val="nil"/>
              <w:right w:val="nil"/>
            </w:tcBorders>
            <w:shd w:val="clear" w:color="auto" w:fill="auto"/>
            <w:noWrap/>
            <w:vAlign w:val="bottom"/>
            <w:hideMark/>
          </w:tcPr>
          <w:p w14:paraId="6E3D6788"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182</w:t>
            </w:r>
          </w:p>
        </w:tc>
        <w:tc>
          <w:tcPr>
            <w:tcW w:w="1610" w:type="pct"/>
            <w:tcBorders>
              <w:top w:val="nil"/>
              <w:left w:val="nil"/>
              <w:bottom w:val="nil"/>
              <w:right w:val="nil"/>
            </w:tcBorders>
            <w:shd w:val="clear" w:color="auto" w:fill="auto"/>
            <w:noWrap/>
            <w:vAlign w:val="bottom"/>
          </w:tcPr>
          <w:p w14:paraId="44B9C33E" w14:textId="5D39AA71"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fldChar w:fldCharType="begin" w:fldLock="1"/>
            </w:r>
            <w:r w:rsidRPr="00E33E6A">
              <w:rPr>
                <w:rFonts w:ascii="Lora" w:eastAsia="Times New Roman" w:hAnsi="Lora" w:cs="Courier New"/>
                <w:color w:val="000000"/>
                <w:sz w:val="22"/>
                <w:lang w:eastAsia="en-AU"/>
              </w:rPr>
              <w:instrText>ADDIN CSL_CITATION {"citationItems":[{"id":"ITEM-1","itemData":{"DOI":"10.3897/mbmg.1.14625","author":[{"dropping-particle":"","family":"Vamos","given":"Ecaterina Edith","non-dropping-particle":"","parse-names":false,"suffix":""},{"dropping-particle":"","family":"Elbrecht","given":"Vasco","non-dropping-particle":"","parse-names":false,"suffix":""},{"dropping-particle":"","family":"Leese","given":"Florian","non-dropping-particle":"","parse-names":false,"suffix":""}],"id":"ITEM-1","issued":{"date-parts":[["2017"]]},"page":"1-20","title":"Short COI markers for freshwater macroinvertebrate metabarcoding","type":"article-journal"},"uris":["http://www.mendeley.com/documents/?uuid=d6f0db95-9a90-46e6-8654-916e91c260eb"]}],"mendeley":{"formattedCitation":"(Vamos et al., 2017)","plainTextFormattedCitation":"(Vamos et al., 2017)","previouslyFormattedCitation":"(Vamos et al., 2017)"},"properties":{"noteIndex":0},"schema":"https://github.com/citation-style-language/schema/raw/master/csl-citation.json"}</w:instrText>
            </w:r>
            <w:r w:rsidRPr="00E33E6A">
              <w:rPr>
                <w:rFonts w:ascii="Lora" w:eastAsia="Times New Roman" w:hAnsi="Lora" w:cs="Courier New"/>
                <w:color w:val="000000"/>
                <w:sz w:val="22"/>
                <w:lang w:eastAsia="en-AU"/>
              </w:rPr>
              <w:fldChar w:fldCharType="separate"/>
            </w:r>
            <w:r w:rsidRPr="00E33E6A">
              <w:rPr>
                <w:rFonts w:ascii="Lora" w:eastAsia="Times New Roman" w:hAnsi="Lora" w:cs="Courier New"/>
                <w:noProof/>
                <w:color w:val="000000"/>
                <w:sz w:val="22"/>
                <w:lang w:eastAsia="en-AU"/>
              </w:rPr>
              <w:t>(Vamos et al., 2017)</w:t>
            </w:r>
            <w:r w:rsidRPr="00E33E6A">
              <w:rPr>
                <w:rFonts w:ascii="Lora" w:eastAsia="Times New Roman" w:hAnsi="Lora" w:cs="Courier New"/>
                <w:color w:val="000000"/>
                <w:sz w:val="22"/>
                <w:lang w:eastAsia="en-AU"/>
              </w:rPr>
              <w:fldChar w:fldCharType="end"/>
            </w:r>
          </w:p>
        </w:tc>
      </w:tr>
      <w:tr w:rsidR="00C82015" w:rsidRPr="00E33E6A" w14:paraId="53645A47" w14:textId="77777777" w:rsidTr="00C82015">
        <w:trPr>
          <w:trHeight w:val="300"/>
        </w:trPr>
        <w:tc>
          <w:tcPr>
            <w:tcW w:w="885" w:type="pct"/>
            <w:tcBorders>
              <w:top w:val="nil"/>
              <w:left w:val="nil"/>
              <w:bottom w:val="nil"/>
              <w:right w:val="nil"/>
            </w:tcBorders>
            <w:shd w:val="clear" w:color="auto" w:fill="auto"/>
            <w:noWrap/>
            <w:vAlign w:val="bottom"/>
            <w:hideMark/>
          </w:tcPr>
          <w:p w14:paraId="53CD6AC4"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SternoCOIF1 - SternoCOIR1</w:t>
            </w:r>
          </w:p>
        </w:tc>
        <w:tc>
          <w:tcPr>
            <w:tcW w:w="913" w:type="pct"/>
            <w:tcBorders>
              <w:top w:val="nil"/>
              <w:left w:val="nil"/>
              <w:bottom w:val="nil"/>
              <w:right w:val="nil"/>
            </w:tcBorders>
            <w:shd w:val="clear" w:color="auto" w:fill="auto"/>
            <w:noWrap/>
            <w:vAlign w:val="bottom"/>
            <w:hideMark/>
          </w:tcPr>
          <w:p w14:paraId="48E69557"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ATTGGWGGWTTYGGAAAYTG</w:t>
            </w:r>
          </w:p>
        </w:tc>
        <w:tc>
          <w:tcPr>
            <w:tcW w:w="273" w:type="pct"/>
            <w:tcBorders>
              <w:top w:val="nil"/>
              <w:left w:val="nil"/>
              <w:bottom w:val="nil"/>
              <w:right w:val="nil"/>
            </w:tcBorders>
            <w:shd w:val="clear" w:color="auto" w:fill="auto"/>
            <w:noWrap/>
            <w:vAlign w:val="bottom"/>
            <w:hideMark/>
          </w:tcPr>
          <w:p w14:paraId="50FBF4DC"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179</w:t>
            </w:r>
          </w:p>
        </w:tc>
        <w:tc>
          <w:tcPr>
            <w:tcW w:w="746" w:type="pct"/>
            <w:tcBorders>
              <w:top w:val="nil"/>
              <w:left w:val="nil"/>
              <w:bottom w:val="nil"/>
              <w:right w:val="nil"/>
            </w:tcBorders>
            <w:shd w:val="clear" w:color="auto" w:fill="auto"/>
            <w:noWrap/>
            <w:vAlign w:val="bottom"/>
            <w:hideMark/>
          </w:tcPr>
          <w:p w14:paraId="228737BA"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ATRAARTTRATWGCTCCTA</w:t>
            </w:r>
          </w:p>
        </w:tc>
        <w:tc>
          <w:tcPr>
            <w:tcW w:w="273" w:type="pct"/>
            <w:tcBorders>
              <w:top w:val="nil"/>
              <w:left w:val="nil"/>
              <w:bottom w:val="nil"/>
              <w:right w:val="nil"/>
            </w:tcBorders>
            <w:shd w:val="clear" w:color="auto" w:fill="auto"/>
            <w:noWrap/>
            <w:vAlign w:val="bottom"/>
            <w:hideMark/>
          </w:tcPr>
          <w:p w14:paraId="3871B0F7"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432</w:t>
            </w:r>
          </w:p>
        </w:tc>
        <w:tc>
          <w:tcPr>
            <w:tcW w:w="301" w:type="pct"/>
            <w:tcBorders>
              <w:top w:val="nil"/>
              <w:left w:val="nil"/>
              <w:bottom w:val="nil"/>
              <w:right w:val="nil"/>
            </w:tcBorders>
            <w:shd w:val="clear" w:color="auto" w:fill="auto"/>
            <w:noWrap/>
            <w:vAlign w:val="bottom"/>
            <w:hideMark/>
          </w:tcPr>
          <w:p w14:paraId="4C2C6066"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234</w:t>
            </w:r>
          </w:p>
        </w:tc>
        <w:tc>
          <w:tcPr>
            <w:tcW w:w="1610" w:type="pct"/>
            <w:tcBorders>
              <w:top w:val="nil"/>
              <w:left w:val="nil"/>
              <w:bottom w:val="nil"/>
              <w:right w:val="nil"/>
            </w:tcBorders>
            <w:shd w:val="clear" w:color="auto" w:fill="auto"/>
            <w:noWrap/>
            <w:vAlign w:val="bottom"/>
            <w:hideMark/>
          </w:tcPr>
          <w:p w14:paraId="5D7B0464"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Batovska et al (in prep)</w:t>
            </w:r>
          </w:p>
        </w:tc>
      </w:tr>
      <w:tr w:rsidR="00C82015" w:rsidRPr="00E33E6A" w14:paraId="2B649BCA" w14:textId="77777777" w:rsidTr="00C82015">
        <w:trPr>
          <w:trHeight w:val="300"/>
        </w:trPr>
        <w:tc>
          <w:tcPr>
            <w:tcW w:w="885" w:type="pct"/>
            <w:tcBorders>
              <w:top w:val="nil"/>
              <w:left w:val="nil"/>
              <w:bottom w:val="nil"/>
              <w:right w:val="nil"/>
            </w:tcBorders>
            <w:shd w:val="clear" w:color="000000" w:fill="D9E1F2"/>
            <w:noWrap/>
            <w:vAlign w:val="bottom"/>
            <w:hideMark/>
          </w:tcPr>
          <w:p w14:paraId="4BE8297D"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mtCOIintF-BR1</w:t>
            </w:r>
          </w:p>
        </w:tc>
        <w:tc>
          <w:tcPr>
            <w:tcW w:w="913" w:type="pct"/>
            <w:tcBorders>
              <w:top w:val="nil"/>
              <w:left w:val="nil"/>
              <w:bottom w:val="nil"/>
              <w:right w:val="nil"/>
            </w:tcBorders>
            <w:shd w:val="clear" w:color="000000" w:fill="D9E1F2"/>
            <w:noWrap/>
            <w:vAlign w:val="bottom"/>
            <w:hideMark/>
          </w:tcPr>
          <w:p w14:paraId="3B9CA209"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GGWACWGGWTGAACWGTWTAYCCYCC</w:t>
            </w:r>
          </w:p>
        </w:tc>
        <w:tc>
          <w:tcPr>
            <w:tcW w:w="273" w:type="pct"/>
            <w:tcBorders>
              <w:top w:val="nil"/>
              <w:left w:val="nil"/>
              <w:bottom w:val="nil"/>
              <w:right w:val="nil"/>
            </w:tcBorders>
            <w:shd w:val="clear" w:color="000000" w:fill="D9E1F2"/>
            <w:noWrap/>
            <w:vAlign w:val="bottom"/>
            <w:hideMark/>
          </w:tcPr>
          <w:p w14:paraId="03010924"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323</w:t>
            </w:r>
          </w:p>
        </w:tc>
        <w:tc>
          <w:tcPr>
            <w:tcW w:w="746" w:type="pct"/>
            <w:tcBorders>
              <w:top w:val="nil"/>
              <w:left w:val="nil"/>
              <w:bottom w:val="nil"/>
              <w:right w:val="nil"/>
            </w:tcBorders>
            <w:shd w:val="clear" w:color="000000" w:fill="D9E1F2"/>
            <w:noWrap/>
            <w:vAlign w:val="bottom"/>
            <w:hideMark/>
          </w:tcPr>
          <w:p w14:paraId="26B7D968"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ARYATDGTRATDGCHCCDGC</w:t>
            </w:r>
          </w:p>
        </w:tc>
        <w:tc>
          <w:tcPr>
            <w:tcW w:w="273" w:type="pct"/>
            <w:tcBorders>
              <w:top w:val="nil"/>
              <w:left w:val="nil"/>
              <w:bottom w:val="nil"/>
              <w:right w:val="nil"/>
            </w:tcBorders>
            <w:shd w:val="clear" w:color="000000" w:fill="D9E1F2"/>
            <w:noWrap/>
            <w:vAlign w:val="bottom"/>
            <w:hideMark/>
          </w:tcPr>
          <w:p w14:paraId="761C2872"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563</w:t>
            </w:r>
          </w:p>
        </w:tc>
        <w:tc>
          <w:tcPr>
            <w:tcW w:w="301" w:type="pct"/>
            <w:tcBorders>
              <w:top w:val="nil"/>
              <w:left w:val="single" w:sz="4" w:space="0" w:color="7F7F7F"/>
              <w:bottom w:val="single" w:sz="4" w:space="0" w:color="7F7F7F"/>
              <w:right w:val="single" w:sz="4" w:space="0" w:color="7F7F7F"/>
            </w:tcBorders>
            <w:shd w:val="clear" w:color="000000" w:fill="D9E1F2"/>
            <w:vAlign w:val="center"/>
            <w:hideMark/>
          </w:tcPr>
          <w:p w14:paraId="6553BE34"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215</w:t>
            </w:r>
          </w:p>
        </w:tc>
        <w:tc>
          <w:tcPr>
            <w:tcW w:w="1610" w:type="pct"/>
            <w:tcBorders>
              <w:top w:val="nil"/>
              <w:left w:val="nil"/>
              <w:bottom w:val="nil"/>
              <w:right w:val="nil"/>
            </w:tcBorders>
            <w:shd w:val="clear" w:color="000000" w:fill="D9E1F2"/>
            <w:noWrap/>
            <w:vAlign w:val="bottom"/>
          </w:tcPr>
          <w:p w14:paraId="58B4CE8B" w14:textId="6779BB83"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fldChar w:fldCharType="begin" w:fldLock="1"/>
            </w:r>
            <w:r w:rsidRPr="00E33E6A">
              <w:rPr>
                <w:rFonts w:ascii="Lora" w:eastAsia="Times New Roman" w:hAnsi="Lora" w:cs="Courier New"/>
                <w:color w:val="000000"/>
                <w:sz w:val="22"/>
                <w:lang w:eastAsia="en-AU"/>
              </w:rPr>
              <w:instrText>ADDIN CSL_CITATION {"citationItems":[{"id":"ITEM-1","itemData":{"author":[{"dropping-particle":"","family":"Leray","given":"Matthieu","non-dropping-particle":"","parse-names":false,"suffix":""},{"dropping-particle":"","family":"Yang","given":"Joy Y","non-dropping-particle":"","parse-names":false,"suffix":""},{"dropping-particle":"","family":"Meyer","given":"Christopher P","non-dropping-particle":"","parse-names":false,"suffix":""},{"dropping-particle":"","family":"Mills","given":"Suzanne C","non-dropping-particle":"","parse-names":false,"suffix":""},{"dropping-particle":"","family":"Agudelo","given":"Natalia","non-dropping-particle":"","parse-names":false,"suffix":""},{"dropping-particle":"","family":"Ranwez","given":"Vincent","non-dropping-particle":"","parse-names":false,"suffix":""},{"dropping-particle":"","family":"Boehm","given":"Joel T","non-dropping-particle":"","parse-names":false,"suffix":""},{"dropping-particle":"","family":"Machida","given":"Ryuji J","non-dropping-particle":"","parse-names":false,"suffix":""}],"id":"ITEM-1","issued":{"date-parts":[["2013"]]},"page":"1-14","title":"A new versatile primer set targeting a short fragment of the mitochondrial COI region for metabarcoding metazoan diversity : application for characterizing coral reef fish gut contents","type":"article-journal"},"uris":["http://www.mendeley.com/documents/?uuid=699f7fdc-8ab9-4e16-8d1e-a47fff109600"]}],"mendeley":{"formattedCitation":"(Leray et al., 2013)","plainTextFormattedCitation":"(Leray et al., 2013)","previouslyFormattedCitation":"(Leray et al., 2013)"},"properties":{"noteIndex":0},"schema":"https://github.com/citation-style-language/schema/raw/master/csl-citation.json"}</w:instrText>
            </w:r>
            <w:r w:rsidRPr="00E33E6A">
              <w:rPr>
                <w:rFonts w:ascii="Lora" w:eastAsia="Times New Roman" w:hAnsi="Lora" w:cs="Courier New"/>
                <w:color w:val="000000"/>
                <w:sz w:val="22"/>
                <w:lang w:eastAsia="en-AU"/>
              </w:rPr>
              <w:fldChar w:fldCharType="separate"/>
            </w:r>
            <w:r w:rsidRPr="00E33E6A">
              <w:rPr>
                <w:rFonts w:ascii="Lora" w:eastAsia="Times New Roman" w:hAnsi="Lora" w:cs="Courier New"/>
                <w:noProof/>
                <w:color w:val="000000"/>
                <w:sz w:val="22"/>
                <w:lang w:eastAsia="en-AU"/>
              </w:rPr>
              <w:t>(Leray et al., 2013)</w:t>
            </w:r>
            <w:r w:rsidRPr="00E33E6A">
              <w:rPr>
                <w:rFonts w:ascii="Lora" w:eastAsia="Times New Roman" w:hAnsi="Lora" w:cs="Courier New"/>
                <w:color w:val="000000"/>
                <w:sz w:val="22"/>
                <w:lang w:eastAsia="en-AU"/>
              </w:rPr>
              <w:fldChar w:fldCharType="end"/>
            </w:r>
          </w:p>
        </w:tc>
      </w:tr>
      <w:tr w:rsidR="00C82015" w:rsidRPr="00E33E6A" w14:paraId="645F9D88" w14:textId="77777777" w:rsidTr="00C82015">
        <w:trPr>
          <w:trHeight w:val="300"/>
        </w:trPr>
        <w:tc>
          <w:tcPr>
            <w:tcW w:w="885" w:type="pct"/>
            <w:tcBorders>
              <w:top w:val="nil"/>
              <w:left w:val="nil"/>
              <w:bottom w:val="nil"/>
              <w:right w:val="nil"/>
            </w:tcBorders>
            <w:shd w:val="clear" w:color="000000" w:fill="D9E1F2"/>
            <w:noWrap/>
            <w:vAlign w:val="bottom"/>
            <w:hideMark/>
          </w:tcPr>
          <w:p w14:paraId="4DB9606F"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SauronS878-BR1</w:t>
            </w:r>
          </w:p>
        </w:tc>
        <w:tc>
          <w:tcPr>
            <w:tcW w:w="913" w:type="pct"/>
            <w:tcBorders>
              <w:top w:val="nil"/>
              <w:left w:val="nil"/>
              <w:bottom w:val="nil"/>
              <w:right w:val="nil"/>
            </w:tcBorders>
            <w:shd w:val="clear" w:color="000000" w:fill="D9E1F2"/>
            <w:noWrap/>
            <w:vAlign w:val="bottom"/>
            <w:hideMark/>
          </w:tcPr>
          <w:p w14:paraId="59B710BF"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GGDRCWGGWTGAACWGTWTAYCCNCC</w:t>
            </w:r>
          </w:p>
        </w:tc>
        <w:tc>
          <w:tcPr>
            <w:tcW w:w="273" w:type="pct"/>
            <w:tcBorders>
              <w:top w:val="nil"/>
              <w:left w:val="nil"/>
              <w:bottom w:val="nil"/>
              <w:right w:val="nil"/>
            </w:tcBorders>
            <w:shd w:val="clear" w:color="000000" w:fill="D9E1F2"/>
            <w:noWrap/>
            <w:vAlign w:val="bottom"/>
            <w:hideMark/>
          </w:tcPr>
          <w:p w14:paraId="5F0A4567"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323</w:t>
            </w:r>
          </w:p>
        </w:tc>
        <w:tc>
          <w:tcPr>
            <w:tcW w:w="746" w:type="pct"/>
            <w:tcBorders>
              <w:top w:val="nil"/>
              <w:left w:val="nil"/>
              <w:bottom w:val="nil"/>
              <w:right w:val="nil"/>
            </w:tcBorders>
            <w:shd w:val="clear" w:color="000000" w:fill="D9E1F2"/>
            <w:noWrap/>
            <w:vAlign w:val="bottom"/>
            <w:hideMark/>
          </w:tcPr>
          <w:p w14:paraId="252FFF65"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ARYATDGTRATDGCHCCDGC</w:t>
            </w:r>
          </w:p>
        </w:tc>
        <w:tc>
          <w:tcPr>
            <w:tcW w:w="273" w:type="pct"/>
            <w:tcBorders>
              <w:top w:val="nil"/>
              <w:left w:val="nil"/>
              <w:bottom w:val="nil"/>
              <w:right w:val="nil"/>
            </w:tcBorders>
            <w:shd w:val="clear" w:color="000000" w:fill="D9E1F2"/>
            <w:noWrap/>
            <w:vAlign w:val="bottom"/>
            <w:hideMark/>
          </w:tcPr>
          <w:p w14:paraId="3D65853B"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563</w:t>
            </w:r>
          </w:p>
        </w:tc>
        <w:tc>
          <w:tcPr>
            <w:tcW w:w="301" w:type="pct"/>
            <w:tcBorders>
              <w:top w:val="nil"/>
              <w:left w:val="single" w:sz="4" w:space="0" w:color="7F7F7F"/>
              <w:bottom w:val="single" w:sz="4" w:space="0" w:color="7F7F7F"/>
              <w:right w:val="single" w:sz="4" w:space="0" w:color="7F7F7F"/>
            </w:tcBorders>
            <w:shd w:val="clear" w:color="000000" w:fill="D9E1F2"/>
            <w:vAlign w:val="center"/>
            <w:hideMark/>
          </w:tcPr>
          <w:p w14:paraId="4541A23C"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215</w:t>
            </w:r>
          </w:p>
        </w:tc>
        <w:tc>
          <w:tcPr>
            <w:tcW w:w="1610" w:type="pct"/>
            <w:tcBorders>
              <w:top w:val="nil"/>
              <w:left w:val="nil"/>
              <w:bottom w:val="nil"/>
              <w:right w:val="nil"/>
            </w:tcBorders>
            <w:shd w:val="clear" w:color="000000" w:fill="D9E1F2"/>
            <w:noWrap/>
            <w:vAlign w:val="bottom"/>
          </w:tcPr>
          <w:p w14:paraId="01F9B9F5" w14:textId="0FC1718C"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fldChar w:fldCharType="begin" w:fldLock="1"/>
            </w:r>
            <w:r w:rsidRPr="00E33E6A">
              <w:rPr>
                <w:rFonts w:ascii="Lora" w:eastAsia="Times New Roman" w:hAnsi="Lora" w:cs="Courier New"/>
                <w:color w:val="000000"/>
                <w:sz w:val="22"/>
                <w:lang w:eastAsia="en-AU"/>
              </w:rPr>
              <w:instrText>ADDIN CSL_CITATION {"citationItems":[{"id":"ITEM-1","itemData":{"DOI":"10.1016/S1872-2067(12)60761-X","ISBN":"1600-051X (Electronic)\\r0303-6979 (Linking)","ISSN":"18722067","PMID":"15049991","abstract":"An efficient method for the synthesis of 2-amino-3-cyano-4-aryl-5,10-dioxo-5,10-dihydro-4H-benzo[g]chromenes and hydroxy-substituted naphthalene-1,4-dione derivatives, using silica-bonded propylpiperazine-N-sulfamic acid as a solid acid, green, heterogeneous catalyst, under ambient and solvent-free conditions, is described. A simple procedure, high yields, short reaction time, safety, and reusability of the catalyst are advantages of these protocols.","author":[{"dropping-particle":"","family":"Rennstam Rubbmark","given":"Oskar","non-dropping-particle":"","parse-names":false,"suffix":""},{"dropping-particle":"","family":"Sint","given":"Daniela","non-dropping-particle":"","parse-names":false,"suffix":""},{"dropping-particle":"","family":"Horngacher","given":"Nina","non-dropping-particle":"","parse-names":false,"suffix":""},{"dropping-particle":"","family":"Traugott","given":"Michael","non-dropping-particle":"","parse-names":false,"suffix":""}],"container-title":"Ecology and Evolution","id":"ITEM-1","issued":{"date-parts":[["2018"]]},"page":"12335– 12350","title":"A broadly-applicable COI primer pair and an efficient single tube amplicon library preparation protocol for metabarcoding","type":"article-journal","volume":"8"},"uris":["http://www.mendeley.com/documents/?uuid=7ef7b80f-bd0d-47c0-aa0b-fc870525d650"]}],"mendeley":{"formattedCitation":"(Rennstam Rubbmark, Sint, Horngacher, &amp; Traugott, 2018)","plainTextFormattedCitation":"(Rennstam Rubbmark, Sint, Horngacher, &amp; Traugott, 2018)","previouslyFormattedCitation":"(Rennstam Rubbmark, Sint, Horngacher, &amp; Traugott, 2018)"},"properties":{"noteIndex":0},"schema":"https://github.com/citation-style-language/schema/raw/master/csl-citation.json"}</w:instrText>
            </w:r>
            <w:r w:rsidRPr="00E33E6A">
              <w:rPr>
                <w:rFonts w:ascii="Lora" w:eastAsia="Times New Roman" w:hAnsi="Lora" w:cs="Courier New"/>
                <w:color w:val="000000"/>
                <w:sz w:val="22"/>
                <w:lang w:eastAsia="en-AU"/>
              </w:rPr>
              <w:fldChar w:fldCharType="separate"/>
            </w:r>
            <w:r w:rsidRPr="00E33E6A">
              <w:rPr>
                <w:rFonts w:ascii="Lora" w:eastAsia="Times New Roman" w:hAnsi="Lora" w:cs="Courier New"/>
                <w:noProof/>
                <w:color w:val="000000"/>
                <w:sz w:val="22"/>
                <w:lang w:eastAsia="en-AU"/>
              </w:rPr>
              <w:t>(Rennstam Rubbmark, Sint, Horngacher, &amp; Traugott, 2018)</w:t>
            </w:r>
            <w:r w:rsidRPr="00E33E6A">
              <w:rPr>
                <w:rFonts w:ascii="Lora" w:eastAsia="Times New Roman" w:hAnsi="Lora" w:cs="Courier New"/>
                <w:color w:val="000000"/>
                <w:sz w:val="22"/>
                <w:lang w:eastAsia="en-AU"/>
              </w:rPr>
              <w:fldChar w:fldCharType="end"/>
            </w:r>
          </w:p>
        </w:tc>
      </w:tr>
      <w:tr w:rsidR="00C82015" w:rsidRPr="00E33E6A" w14:paraId="549462E0" w14:textId="77777777" w:rsidTr="00C82015">
        <w:trPr>
          <w:trHeight w:val="300"/>
        </w:trPr>
        <w:tc>
          <w:tcPr>
            <w:tcW w:w="885" w:type="pct"/>
            <w:tcBorders>
              <w:top w:val="nil"/>
              <w:left w:val="nil"/>
              <w:bottom w:val="nil"/>
              <w:right w:val="nil"/>
            </w:tcBorders>
            <w:shd w:val="clear" w:color="000000" w:fill="D9E1F2"/>
            <w:noWrap/>
            <w:vAlign w:val="bottom"/>
            <w:hideMark/>
          </w:tcPr>
          <w:p w14:paraId="432B46B8"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Uni-MinibarF1-Uni-MinibarR1</w:t>
            </w:r>
          </w:p>
        </w:tc>
        <w:tc>
          <w:tcPr>
            <w:tcW w:w="913" w:type="pct"/>
            <w:tcBorders>
              <w:top w:val="nil"/>
              <w:left w:val="nil"/>
              <w:bottom w:val="nil"/>
              <w:right w:val="nil"/>
            </w:tcBorders>
            <w:shd w:val="clear" w:color="000000" w:fill="D9E1F2"/>
            <w:noWrap/>
            <w:vAlign w:val="bottom"/>
            <w:hideMark/>
          </w:tcPr>
          <w:p w14:paraId="64B6C407"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TCCACTAATCACAARGATATTGGTAC</w:t>
            </w:r>
          </w:p>
        </w:tc>
        <w:tc>
          <w:tcPr>
            <w:tcW w:w="273" w:type="pct"/>
            <w:tcBorders>
              <w:top w:val="nil"/>
              <w:left w:val="nil"/>
              <w:bottom w:val="nil"/>
              <w:right w:val="nil"/>
            </w:tcBorders>
            <w:shd w:val="clear" w:color="000000" w:fill="D9E1F2"/>
            <w:noWrap/>
            <w:vAlign w:val="bottom"/>
            <w:hideMark/>
          </w:tcPr>
          <w:p w14:paraId="528B1C08"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w:t>
            </w:r>
          </w:p>
        </w:tc>
        <w:tc>
          <w:tcPr>
            <w:tcW w:w="746" w:type="pct"/>
            <w:tcBorders>
              <w:top w:val="nil"/>
              <w:left w:val="nil"/>
              <w:bottom w:val="nil"/>
              <w:right w:val="nil"/>
            </w:tcBorders>
            <w:shd w:val="clear" w:color="000000" w:fill="D9E1F2"/>
            <w:noWrap/>
            <w:vAlign w:val="bottom"/>
            <w:hideMark/>
          </w:tcPr>
          <w:p w14:paraId="3ED633FA"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GAAAATCATAATGAAGGCATGAGC</w:t>
            </w:r>
          </w:p>
        </w:tc>
        <w:tc>
          <w:tcPr>
            <w:tcW w:w="273" w:type="pct"/>
            <w:tcBorders>
              <w:top w:val="nil"/>
              <w:left w:val="nil"/>
              <w:bottom w:val="nil"/>
              <w:right w:val="nil"/>
            </w:tcBorders>
            <w:shd w:val="clear" w:color="000000" w:fill="D9E1F2"/>
            <w:noWrap/>
            <w:vAlign w:val="bottom"/>
            <w:hideMark/>
          </w:tcPr>
          <w:p w14:paraId="3A94C8D3"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134</w:t>
            </w:r>
          </w:p>
        </w:tc>
        <w:tc>
          <w:tcPr>
            <w:tcW w:w="301" w:type="pct"/>
            <w:tcBorders>
              <w:top w:val="single" w:sz="4" w:space="0" w:color="7F7F7F"/>
              <w:left w:val="single" w:sz="4" w:space="0" w:color="7F7F7F"/>
              <w:bottom w:val="single" w:sz="4" w:space="0" w:color="7F7F7F"/>
              <w:right w:val="single" w:sz="4" w:space="0" w:color="7F7F7F"/>
            </w:tcBorders>
            <w:shd w:val="clear" w:color="000000" w:fill="D9E1F2"/>
            <w:vAlign w:val="center"/>
            <w:hideMark/>
          </w:tcPr>
          <w:p w14:paraId="62D671D4"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131</w:t>
            </w:r>
          </w:p>
        </w:tc>
        <w:tc>
          <w:tcPr>
            <w:tcW w:w="1610" w:type="pct"/>
            <w:tcBorders>
              <w:top w:val="nil"/>
              <w:left w:val="nil"/>
              <w:bottom w:val="nil"/>
              <w:right w:val="nil"/>
            </w:tcBorders>
            <w:shd w:val="clear" w:color="000000" w:fill="D9E1F2"/>
            <w:noWrap/>
            <w:vAlign w:val="bottom"/>
          </w:tcPr>
          <w:p w14:paraId="57D9AB7B" w14:textId="31B54C4A"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fldChar w:fldCharType="begin" w:fldLock="1"/>
            </w:r>
            <w:r w:rsidRPr="00E33E6A">
              <w:rPr>
                <w:rFonts w:ascii="Lora" w:eastAsia="Times New Roman" w:hAnsi="Lora" w:cs="Courier New"/>
                <w:color w:val="000000"/>
                <w:sz w:val="22"/>
                <w:lang w:eastAsia="en-AU"/>
              </w:rPr>
              <w:instrText>ADDIN CSL_CITATION {"citationItems":[{"id":"ITEM-1","itemData":{"DOI":"10.1186/1471-2164-9-214","ISBN":"1471-2164","ISSN":"14712164","PMID":"18474098","abstract":"The goal of DNA barcoding is to develop a species-specific sequence library for all eukaryotes. A 650 bp fragment of the cytochrome c oxidase 1 (CO1) gene has been used successfully for species-level identification in several animal groups. It may be difficult in practice, however, to retrieve a 650 bp fragment from archival specimens, (because of DNA degradation) or from environmental samples (where universal primers are needed).","author":[{"dropping-particle":"","family":"Meusnier","given":"Isabelle","non-dropping-particle":"","parse-names":false,"suffix":""},{"dropping-particle":"","family":"Singer","given":"G. A C","non-dropping-particle":"","parse-names":false,"suffix":""},{"dropping-particle":"","family":"Landry","given":"J. F.","non-dropping-particle":"","parse-names":false,"suffix":""},{"dropping-particle":"","family":"Hickey","given":"Donal A.","non-dropping-particle":"","parse-names":false,"suffix":""},{"dropping-particle":"","family":"Hebert","given":"P. D N","non-dropping-particle":"","parse-names":false,"suffix":""},{"dropping-particle":"","family":"Hajibabaei","given":"Mehrdad","non-dropping-particle":"","parse-names":false,"suffix":""}],"container-title":"BMC Genomics","id":"ITEM-1","issued":{"date-parts":[["2008"]]},"page":"4-7","title":"A universal DNA mini-barcode for biodiversity analysis","type":"article-journal","volume":"9"},"uris":["http://www.mendeley.com/documents/?uuid=eb04b6d9-7dcb-4cc4-bd11-baac21b71824"]}],"mendeley":{"formattedCitation":"(Meusnier et al., 2008)","plainTextFormattedCitation":"(Meusnier et al., 2008)","previouslyFormattedCitation":"(Meusnier et al., 2008)"},"properties":{"noteIndex":0},"schema":"https://github.com/citation-style-language/schema/raw/master/csl-citation.json"}</w:instrText>
            </w:r>
            <w:r w:rsidRPr="00E33E6A">
              <w:rPr>
                <w:rFonts w:ascii="Lora" w:eastAsia="Times New Roman" w:hAnsi="Lora" w:cs="Courier New"/>
                <w:color w:val="000000"/>
                <w:sz w:val="22"/>
                <w:lang w:eastAsia="en-AU"/>
              </w:rPr>
              <w:fldChar w:fldCharType="separate"/>
            </w:r>
            <w:r w:rsidRPr="00E33E6A">
              <w:rPr>
                <w:rFonts w:ascii="Lora" w:eastAsia="Times New Roman" w:hAnsi="Lora" w:cs="Courier New"/>
                <w:noProof/>
                <w:color w:val="000000"/>
                <w:sz w:val="22"/>
                <w:lang w:eastAsia="en-AU"/>
              </w:rPr>
              <w:t>(Meusnier et al., 2008)</w:t>
            </w:r>
            <w:r w:rsidRPr="00E33E6A">
              <w:rPr>
                <w:rFonts w:ascii="Lora" w:eastAsia="Times New Roman" w:hAnsi="Lora" w:cs="Courier New"/>
                <w:color w:val="000000"/>
                <w:sz w:val="22"/>
                <w:lang w:eastAsia="en-AU"/>
              </w:rPr>
              <w:fldChar w:fldCharType="end"/>
            </w:r>
          </w:p>
        </w:tc>
      </w:tr>
      <w:tr w:rsidR="00C82015" w:rsidRPr="00E33E6A" w14:paraId="16FCE44A" w14:textId="77777777" w:rsidTr="00C82015">
        <w:trPr>
          <w:trHeight w:val="300"/>
        </w:trPr>
        <w:tc>
          <w:tcPr>
            <w:tcW w:w="885" w:type="pct"/>
            <w:tcBorders>
              <w:top w:val="nil"/>
              <w:left w:val="nil"/>
              <w:bottom w:val="nil"/>
              <w:right w:val="nil"/>
            </w:tcBorders>
            <w:shd w:val="clear" w:color="auto" w:fill="auto"/>
            <w:noWrap/>
            <w:vAlign w:val="bottom"/>
            <w:hideMark/>
          </w:tcPr>
          <w:p w14:paraId="5BA2195E"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UniMinibarF1−d-UniMinibarF1−d</w:t>
            </w:r>
          </w:p>
        </w:tc>
        <w:tc>
          <w:tcPr>
            <w:tcW w:w="913" w:type="pct"/>
            <w:tcBorders>
              <w:top w:val="nil"/>
              <w:left w:val="nil"/>
              <w:bottom w:val="nil"/>
              <w:right w:val="nil"/>
            </w:tcBorders>
            <w:shd w:val="clear" w:color="auto" w:fill="auto"/>
            <w:noWrap/>
            <w:vAlign w:val="bottom"/>
            <w:hideMark/>
          </w:tcPr>
          <w:p w14:paraId="3CEA84A5"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TCYACTAATCATAAAGATATTGGYAC</w:t>
            </w:r>
          </w:p>
        </w:tc>
        <w:tc>
          <w:tcPr>
            <w:tcW w:w="273" w:type="pct"/>
            <w:tcBorders>
              <w:top w:val="nil"/>
              <w:left w:val="nil"/>
              <w:bottom w:val="nil"/>
              <w:right w:val="nil"/>
            </w:tcBorders>
            <w:shd w:val="clear" w:color="auto" w:fill="auto"/>
            <w:noWrap/>
            <w:vAlign w:val="bottom"/>
            <w:hideMark/>
          </w:tcPr>
          <w:p w14:paraId="0BEF945F"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w:t>
            </w:r>
          </w:p>
        </w:tc>
        <w:tc>
          <w:tcPr>
            <w:tcW w:w="746" w:type="pct"/>
            <w:tcBorders>
              <w:top w:val="nil"/>
              <w:left w:val="nil"/>
              <w:bottom w:val="nil"/>
              <w:right w:val="nil"/>
            </w:tcBorders>
            <w:shd w:val="clear" w:color="auto" w:fill="auto"/>
            <w:noWrap/>
            <w:vAlign w:val="bottom"/>
            <w:hideMark/>
          </w:tcPr>
          <w:p w14:paraId="27DBC493"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AAAATTATAATAAARGCRTGRGC</w:t>
            </w:r>
          </w:p>
        </w:tc>
        <w:tc>
          <w:tcPr>
            <w:tcW w:w="273" w:type="pct"/>
            <w:tcBorders>
              <w:top w:val="nil"/>
              <w:left w:val="nil"/>
              <w:bottom w:val="nil"/>
              <w:right w:val="nil"/>
            </w:tcBorders>
            <w:shd w:val="clear" w:color="auto" w:fill="auto"/>
            <w:noWrap/>
            <w:vAlign w:val="bottom"/>
            <w:hideMark/>
          </w:tcPr>
          <w:p w14:paraId="35110279"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134</w:t>
            </w:r>
          </w:p>
        </w:tc>
        <w:tc>
          <w:tcPr>
            <w:tcW w:w="301" w:type="pct"/>
            <w:tcBorders>
              <w:top w:val="nil"/>
              <w:left w:val="nil"/>
              <w:bottom w:val="nil"/>
              <w:right w:val="nil"/>
            </w:tcBorders>
            <w:shd w:val="clear" w:color="auto" w:fill="auto"/>
            <w:noWrap/>
            <w:vAlign w:val="bottom"/>
            <w:hideMark/>
          </w:tcPr>
          <w:p w14:paraId="28089B0F"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131</w:t>
            </w:r>
          </w:p>
        </w:tc>
        <w:tc>
          <w:tcPr>
            <w:tcW w:w="1610" w:type="pct"/>
            <w:tcBorders>
              <w:top w:val="nil"/>
              <w:left w:val="nil"/>
              <w:bottom w:val="nil"/>
              <w:right w:val="nil"/>
            </w:tcBorders>
            <w:shd w:val="clear" w:color="auto" w:fill="auto"/>
            <w:noWrap/>
            <w:vAlign w:val="bottom"/>
          </w:tcPr>
          <w:p w14:paraId="6D314A51" w14:textId="47719F21"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fldChar w:fldCharType="begin" w:fldLock="1"/>
            </w:r>
            <w:r w:rsidRPr="00E33E6A">
              <w:rPr>
                <w:rFonts w:ascii="Lora" w:eastAsia="Times New Roman" w:hAnsi="Lora" w:cs="Courier New"/>
                <w:color w:val="000000"/>
                <w:sz w:val="22"/>
                <w:lang w:eastAsia="en-AU"/>
              </w:rPr>
              <w:instrText>ADDIN CSL_CITATION {"citationItems":[{"id":"ITEM-1","itemData":{"DOI":"10.1007/s00414-012-0767-6","author":[{"dropping-particle":"","family":"Jordaens","given":"Kurt","non-dropping-particle":"","parse-names":false,"suffix":""},{"dropping-particle":"","family":"Sonet","given":"Gontran","non-dropping-particle":"","parse-names":false,"suffix":""},{"dropping-particle":"","family":"Richet","given":"René","non-dropping-particle":"","parse-names":false,"suffix":""}],"id":"ITEM-1","issued":{"date-parts":[["2013"]]},"page":"491-504","title":"Identification of forensically important Sarcophaga species ( Diptera : Sarcophagidae ) using the mitochondrial COI gene","type":"article-journal"},"uris":["http://www.mendeley.com/documents/?uuid=980a7453-87c2-4ab1-afa8-ef5e6ae48957"]}],"mendeley":{"formattedCitation":"(Jordaens, Sonet, &amp; Richet, 2013)","plainTextFormattedCitation":"(Jordaens, Sonet, &amp; Richet, 2013)","previouslyFormattedCitation":"(Jordaens, Sonet, &amp; Richet, 2013)"},"properties":{"noteIndex":0},"schema":"https://github.com/citation-style-language/schema/raw/master/csl-citation.json"}</w:instrText>
            </w:r>
            <w:r w:rsidRPr="00E33E6A">
              <w:rPr>
                <w:rFonts w:ascii="Lora" w:eastAsia="Times New Roman" w:hAnsi="Lora" w:cs="Courier New"/>
                <w:color w:val="000000"/>
                <w:sz w:val="22"/>
                <w:lang w:eastAsia="en-AU"/>
              </w:rPr>
              <w:fldChar w:fldCharType="separate"/>
            </w:r>
            <w:r w:rsidRPr="00E33E6A">
              <w:rPr>
                <w:rFonts w:ascii="Lora" w:eastAsia="Times New Roman" w:hAnsi="Lora" w:cs="Courier New"/>
                <w:noProof/>
                <w:color w:val="000000"/>
                <w:sz w:val="22"/>
                <w:lang w:eastAsia="en-AU"/>
              </w:rPr>
              <w:t>(Jordaens, Sonet, &amp; Richet, 2013)</w:t>
            </w:r>
            <w:r w:rsidRPr="00E33E6A">
              <w:rPr>
                <w:rFonts w:ascii="Lora" w:eastAsia="Times New Roman" w:hAnsi="Lora" w:cs="Courier New"/>
                <w:color w:val="000000"/>
                <w:sz w:val="22"/>
                <w:lang w:eastAsia="en-AU"/>
              </w:rPr>
              <w:fldChar w:fldCharType="end"/>
            </w:r>
          </w:p>
        </w:tc>
      </w:tr>
      <w:tr w:rsidR="00C82015" w:rsidRPr="00E33E6A" w14:paraId="76188259" w14:textId="77777777" w:rsidTr="00C82015">
        <w:trPr>
          <w:trHeight w:val="300"/>
        </w:trPr>
        <w:tc>
          <w:tcPr>
            <w:tcW w:w="885" w:type="pct"/>
            <w:tcBorders>
              <w:top w:val="nil"/>
              <w:left w:val="nil"/>
              <w:bottom w:val="nil"/>
              <w:right w:val="nil"/>
            </w:tcBorders>
            <w:shd w:val="clear" w:color="000000" w:fill="D9E1F2"/>
            <w:noWrap/>
            <w:vAlign w:val="bottom"/>
            <w:hideMark/>
          </w:tcPr>
          <w:p w14:paraId="7ECE9CDB"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ZBJ−ArtF1c-ZBJ−ArtR2c</w:t>
            </w:r>
          </w:p>
        </w:tc>
        <w:tc>
          <w:tcPr>
            <w:tcW w:w="913" w:type="pct"/>
            <w:tcBorders>
              <w:top w:val="nil"/>
              <w:left w:val="nil"/>
              <w:bottom w:val="nil"/>
              <w:right w:val="nil"/>
            </w:tcBorders>
            <w:shd w:val="clear" w:color="000000" w:fill="D9E1F2"/>
            <w:noWrap/>
            <w:vAlign w:val="bottom"/>
            <w:hideMark/>
          </w:tcPr>
          <w:p w14:paraId="461C8972"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AGATATTGGAACWTTATATTTTATTTTTGG</w:t>
            </w:r>
          </w:p>
        </w:tc>
        <w:tc>
          <w:tcPr>
            <w:tcW w:w="273" w:type="pct"/>
            <w:tcBorders>
              <w:top w:val="nil"/>
              <w:left w:val="nil"/>
              <w:bottom w:val="nil"/>
              <w:right w:val="nil"/>
            </w:tcBorders>
            <w:shd w:val="clear" w:color="000000" w:fill="D9E1F2"/>
            <w:noWrap/>
            <w:vAlign w:val="bottom"/>
            <w:hideMark/>
          </w:tcPr>
          <w:p w14:paraId="4FD1AF15"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-8</w:t>
            </w:r>
          </w:p>
        </w:tc>
        <w:tc>
          <w:tcPr>
            <w:tcW w:w="746" w:type="pct"/>
            <w:tcBorders>
              <w:top w:val="nil"/>
              <w:left w:val="nil"/>
              <w:bottom w:val="nil"/>
              <w:right w:val="nil"/>
            </w:tcBorders>
            <w:shd w:val="clear" w:color="000000" w:fill="D9E1F2"/>
            <w:noWrap/>
            <w:vAlign w:val="bottom"/>
            <w:hideMark/>
          </w:tcPr>
          <w:p w14:paraId="7419EAE0"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WACTAATCAATTWCCAAATCCTCC</w:t>
            </w:r>
          </w:p>
        </w:tc>
        <w:tc>
          <w:tcPr>
            <w:tcW w:w="273" w:type="pct"/>
            <w:tcBorders>
              <w:top w:val="nil"/>
              <w:left w:val="nil"/>
              <w:bottom w:val="nil"/>
              <w:right w:val="nil"/>
            </w:tcBorders>
            <w:shd w:val="clear" w:color="000000" w:fill="D9E1F2"/>
            <w:noWrap/>
            <w:vAlign w:val="bottom"/>
            <w:hideMark/>
          </w:tcPr>
          <w:p w14:paraId="2154924E"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182</w:t>
            </w:r>
          </w:p>
        </w:tc>
        <w:tc>
          <w:tcPr>
            <w:tcW w:w="301" w:type="pct"/>
            <w:tcBorders>
              <w:top w:val="single" w:sz="4" w:space="0" w:color="7F7F7F"/>
              <w:left w:val="single" w:sz="4" w:space="0" w:color="7F7F7F"/>
              <w:bottom w:val="single" w:sz="4" w:space="0" w:color="7F7F7F"/>
              <w:right w:val="single" w:sz="4" w:space="0" w:color="7F7F7F"/>
            </w:tcBorders>
            <w:shd w:val="clear" w:color="000000" w:fill="D9E1F2"/>
            <w:vAlign w:val="center"/>
            <w:hideMark/>
          </w:tcPr>
          <w:p w14:paraId="47973DD3"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161</w:t>
            </w:r>
          </w:p>
        </w:tc>
        <w:tc>
          <w:tcPr>
            <w:tcW w:w="1610" w:type="pct"/>
            <w:tcBorders>
              <w:top w:val="nil"/>
              <w:left w:val="nil"/>
              <w:bottom w:val="nil"/>
              <w:right w:val="nil"/>
            </w:tcBorders>
            <w:shd w:val="clear" w:color="000000" w:fill="D9E1F2"/>
            <w:noWrap/>
            <w:vAlign w:val="bottom"/>
          </w:tcPr>
          <w:p w14:paraId="102BA9A9" w14:textId="51633E8C"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fldChar w:fldCharType="begin" w:fldLock="1"/>
            </w:r>
            <w:r w:rsidRPr="00E33E6A">
              <w:rPr>
                <w:rFonts w:ascii="Lora" w:eastAsia="Times New Roman" w:hAnsi="Lora" w:cs="Courier New"/>
                <w:color w:val="000000"/>
                <w:sz w:val="22"/>
                <w:lang w:eastAsia="en-AU"/>
              </w:rPr>
              <w:instrText>ADDIN CSL_CITATION {"citationItems":[{"id":"ITEM-1","itemData":{"DOI":"10.1111/j.1755-0998.2010.02920.x","ISSN":"1755098X","abstract":"The application of DNA barcoding to dietary studies allows prey taxa to be identified in the absence of morphological evidence and permits a greater resolution of prey identity than is possible through direct examination of faecal material. For insectivorous bats, which typically eat a great diversity of prey and which chew and digest their prey thoroughly, DNA-based approaches to diet analysis may provide the only means of assessing the range and diversity of prey within faeces. Here, we investigated the effectiveness of DNA barcoding in determining the diets of bat species that specialize in eating different taxa of arthropod prey. We designed and tested a novel taxon-specific primer set and examined the performance of short barcode sequences in resolving prey species. We recovered prey DNA from all faecal samples and subsequent cloning and sequencing of PCR products, followed by a comparison of sequences to a reference database, provided species-level identifications for 149/207 (72%) clones. We detected a phylogenetically broad range of prey while completely avoiding detection of nontarget groups. In total, 37 unique prey taxa were identified from 15 faecal samples. A comparison of DNA data with parallel morphological analyses revealed a close correlation between the two methods. However, the sensitivity and taxonomic resolution of the DNA method were far superior. The methodology developed here provides new opportunities for the study of bat diets and will be of great benefit to the conservation of these ecologically important predators.","author":[{"dropping-particle":"","family":"Zeale","given":"Matt R.K.","non-dropping-particle":"","parse-names":false,"suffix":""},{"dropping-particle":"","family":"Butlin","given":"Roger K.","non-dropping-particle":"","parse-names":false,"suffix":""},{"dropping-particle":"","family":"Barker","given":"Gary L.A.","non-dropping-particle":"","parse-names":false,"suffix":""},{"dropping-particle":"","family":"Lees","given":"David C.","non-dropping-particle":"","parse-names":false,"suffix":""},{"dropping-particle":"","family":"Jones","given":"Gareth","non-dropping-particle":"","parse-names":false,"suffix":""}],"container-title":"Molecular Ecology Resources","id":"ITEM-1","issued":{"date-parts":[["2011"]]},"title":"Taxon-specific PCR for DNA barcoding arthropod prey in bat faeces","type":"article-journal"},"uris":["http://www.mendeley.com/documents/?uuid=e009c88c-4ec4-4bf1-b30e-773cc9a915c8"]}],"mendeley":{"formattedCitation":"(Zeale, Butlin, Barker, Lees, &amp; Jones, 2011)","plainTextFormattedCitation":"(Zeale, Butlin, Barker, Lees, &amp; Jones, 2011)","previouslyFormattedCitation":"(Zeale, Butlin, Barker, Lees, &amp; Jones, 2011)"},"properties":{"noteIndex":0},"schema":"https://github.com/citation-style-language/schema/raw/master/csl-citation.json"}</w:instrText>
            </w:r>
            <w:r w:rsidRPr="00E33E6A">
              <w:rPr>
                <w:rFonts w:ascii="Lora" w:eastAsia="Times New Roman" w:hAnsi="Lora" w:cs="Courier New"/>
                <w:color w:val="000000"/>
                <w:sz w:val="22"/>
                <w:lang w:eastAsia="en-AU"/>
              </w:rPr>
              <w:fldChar w:fldCharType="separate"/>
            </w:r>
            <w:r w:rsidRPr="00E33E6A">
              <w:rPr>
                <w:rFonts w:ascii="Lora" w:eastAsia="Times New Roman" w:hAnsi="Lora" w:cs="Courier New"/>
                <w:noProof/>
                <w:color w:val="000000"/>
                <w:sz w:val="22"/>
                <w:lang w:eastAsia="en-AU"/>
              </w:rPr>
              <w:t>(Zeale, Butlin, Barker, Lees, &amp; Jones, 2011)</w:t>
            </w:r>
            <w:r w:rsidRPr="00E33E6A">
              <w:rPr>
                <w:rFonts w:ascii="Lora" w:eastAsia="Times New Roman" w:hAnsi="Lora" w:cs="Courier New"/>
                <w:color w:val="000000"/>
                <w:sz w:val="22"/>
                <w:lang w:eastAsia="en-AU"/>
              </w:rPr>
              <w:fldChar w:fldCharType="end"/>
            </w:r>
          </w:p>
        </w:tc>
      </w:tr>
      <w:tr w:rsidR="00C82015" w:rsidRPr="00E33E6A" w14:paraId="1330DA5A" w14:textId="77777777" w:rsidTr="00C82015">
        <w:trPr>
          <w:trHeight w:val="300"/>
        </w:trPr>
        <w:tc>
          <w:tcPr>
            <w:tcW w:w="885" w:type="pct"/>
            <w:tcBorders>
              <w:top w:val="nil"/>
              <w:left w:val="nil"/>
              <w:bottom w:val="nil"/>
              <w:right w:val="nil"/>
            </w:tcBorders>
            <w:shd w:val="clear" w:color="auto" w:fill="auto"/>
            <w:noWrap/>
            <w:vAlign w:val="bottom"/>
            <w:hideMark/>
          </w:tcPr>
          <w:p w14:paraId="254D74E3"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AgPestF1-AgPestR1a</w:t>
            </w:r>
          </w:p>
        </w:tc>
        <w:tc>
          <w:tcPr>
            <w:tcW w:w="913" w:type="pct"/>
            <w:tcBorders>
              <w:top w:val="nil"/>
              <w:left w:val="nil"/>
              <w:bottom w:val="nil"/>
              <w:right w:val="nil"/>
            </w:tcBorders>
            <w:shd w:val="clear" w:color="auto" w:fill="auto"/>
            <w:noWrap/>
            <w:vAlign w:val="bottom"/>
            <w:hideMark/>
          </w:tcPr>
          <w:p w14:paraId="732E4B86"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ATYATWATTGGDGGDTTYGG</w:t>
            </w:r>
          </w:p>
        </w:tc>
        <w:tc>
          <w:tcPr>
            <w:tcW w:w="273" w:type="pct"/>
            <w:tcBorders>
              <w:top w:val="nil"/>
              <w:left w:val="nil"/>
              <w:bottom w:val="nil"/>
              <w:right w:val="nil"/>
            </w:tcBorders>
            <w:shd w:val="clear" w:color="000000" w:fill="D9E1F2"/>
            <w:noWrap/>
            <w:vAlign w:val="bottom"/>
            <w:hideMark/>
          </w:tcPr>
          <w:p w14:paraId="52144F3C"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173</w:t>
            </w:r>
          </w:p>
        </w:tc>
        <w:tc>
          <w:tcPr>
            <w:tcW w:w="746" w:type="pct"/>
            <w:tcBorders>
              <w:top w:val="nil"/>
              <w:left w:val="nil"/>
              <w:bottom w:val="nil"/>
              <w:right w:val="nil"/>
            </w:tcBorders>
            <w:shd w:val="clear" w:color="auto" w:fill="auto"/>
            <w:noWrap/>
            <w:vAlign w:val="bottom"/>
            <w:hideMark/>
          </w:tcPr>
          <w:p w14:paraId="2F2C6C56"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GTRATRAARTTDAYWGMHCC</w:t>
            </w:r>
          </w:p>
        </w:tc>
        <w:tc>
          <w:tcPr>
            <w:tcW w:w="273" w:type="pct"/>
            <w:tcBorders>
              <w:top w:val="nil"/>
              <w:left w:val="nil"/>
              <w:bottom w:val="nil"/>
              <w:right w:val="nil"/>
            </w:tcBorders>
            <w:shd w:val="clear" w:color="000000" w:fill="D9E1F2"/>
            <w:noWrap/>
            <w:vAlign w:val="bottom"/>
            <w:hideMark/>
          </w:tcPr>
          <w:p w14:paraId="5644DF88"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434</w:t>
            </w:r>
          </w:p>
        </w:tc>
        <w:tc>
          <w:tcPr>
            <w:tcW w:w="301" w:type="pct"/>
            <w:tcBorders>
              <w:top w:val="nil"/>
              <w:left w:val="nil"/>
              <w:bottom w:val="nil"/>
              <w:right w:val="nil"/>
            </w:tcBorders>
            <w:shd w:val="clear" w:color="000000" w:fill="D9E1F2"/>
            <w:vAlign w:val="center"/>
            <w:hideMark/>
          </w:tcPr>
          <w:p w14:paraId="4BC6ABDE"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242</w:t>
            </w:r>
          </w:p>
        </w:tc>
        <w:tc>
          <w:tcPr>
            <w:tcW w:w="1610" w:type="pct"/>
            <w:tcBorders>
              <w:top w:val="nil"/>
              <w:left w:val="nil"/>
              <w:bottom w:val="nil"/>
              <w:right w:val="nil"/>
            </w:tcBorders>
            <w:shd w:val="clear" w:color="000000" w:fill="D9E1F2"/>
            <w:noWrap/>
            <w:vAlign w:val="bottom"/>
            <w:hideMark/>
          </w:tcPr>
          <w:p w14:paraId="1FBC3B04"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78796DF6" w14:textId="77777777" w:rsidTr="00C82015">
        <w:trPr>
          <w:trHeight w:val="300"/>
        </w:trPr>
        <w:tc>
          <w:tcPr>
            <w:tcW w:w="885" w:type="pct"/>
            <w:tcBorders>
              <w:top w:val="nil"/>
              <w:left w:val="nil"/>
              <w:bottom w:val="nil"/>
              <w:right w:val="nil"/>
            </w:tcBorders>
            <w:shd w:val="clear" w:color="auto" w:fill="auto"/>
            <w:noWrap/>
            <w:vAlign w:val="bottom"/>
            <w:hideMark/>
          </w:tcPr>
          <w:p w14:paraId="543576A0"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AgPestF1-AgPestR1b</w:t>
            </w:r>
          </w:p>
        </w:tc>
        <w:tc>
          <w:tcPr>
            <w:tcW w:w="913" w:type="pct"/>
            <w:tcBorders>
              <w:top w:val="nil"/>
              <w:left w:val="nil"/>
              <w:bottom w:val="nil"/>
              <w:right w:val="nil"/>
            </w:tcBorders>
            <w:shd w:val="clear" w:color="auto" w:fill="auto"/>
            <w:noWrap/>
            <w:vAlign w:val="bottom"/>
            <w:hideMark/>
          </w:tcPr>
          <w:p w14:paraId="11240993"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ATYATWATTGGDGGDTTYGG</w:t>
            </w:r>
          </w:p>
        </w:tc>
        <w:tc>
          <w:tcPr>
            <w:tcW w:w="273" w:type="pct"/>
            <w:tcBorders>
              <w:top w:val="nil"/>
              <w:left w:val="nil"/>
              <w:bottom w:val="nil"/>
              <w:right w:val="nil"/>
            </w:tcBorders>
            <w:shd w:val="clear" w:color="000000" w:fill="D9E1F2"/>
            <w:noWrap/>
            <w:vAlign w:val="bottom"/>
            <w:hideMark/>
          </w:tcPr>
          <w:p w14:paraId="2E900DD1"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173</w:t>
            </w:r>
          </w:p>
        </w:tc>
        <w:tc>
          <w:tcPr>
            <w:tcW w:w="746" w:type="pct"/>
            <w:tcBorders>
              <w:top w:val="nil"/>
              <w:left w:val="nil"/>
              <w:bottom w:val="nil"/>
              <w:right w:val="nil"/>
            </w:tcBorders>
            <w:shd w:val="clear" w:color="auto" w:fill="auto"/>
            <w:noWrap/>
            <w:vAlign w:val="bottom"/>
            <w:hideMark/>
          </w:tcPr>
          <w:p w14:paraId="16CA48B6"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ARAATWGADGADAYWCCWGC</w:t>
            </w:r>
          </w:p>
        </w:tc>
        <w:tc>
          <w:tcPr>
            <w:tcW w:w="273" w:type="pct"/>
            <w:tcBorders>
              <w:top w:val="nil"/>
              <w:left w:val="nil"/>
              <w:bottom w:val="nil"/>
              <w:right w:val="nil"/>
            </w:tcBorders>
            <w:shd w:val="clear" w:color="auto" w:fill="auto"/>
            <w:noWrap/>
            <w:vAlign w:val="bottom"/>
            <w:hideMark/>
          </w:tcPr>
          <w:p w14:paraId="69543705"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413</w:t>
            </w:r>
          </w:p>
        </w:tc>
        <w:tc>
          <w:tcPr>
            <w:tcW w:w="301" w:type="pct"/>
            <w:tcBorders>
              <w:top w:val="nil"/>
              <w:left w:val="nil"/>
              <w:bottom w:val="nil"/>
              <w:right w:val="nil"/>
            </w:tcBorders>
            <w:shd w:val="clear" w:color="auto" w:fill="auto"/>
            <w:noWrap/>
            <w:vAlign w:val="bottom"/>
            <w:hideMark/>
          </w:tcPr>
          <w:p w14:paraId="1E9A3D90"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221</w:t>
            </w:r>
          </w:p>
        </w:tc>
        <w:tc>
          <w:tcPr>
            <w:tcW w:w="1610" w:type="pct"/>
            <w:tcBorders>
              <w:top w:val="nil"/>
              <w:left w:val="nil"/>
              <w:bottom w:val="nil"/>
              <w:right w:val="nil"/>
            </w:tcBorders>
            <w:shd w:val="clear" w:color="000000" w:fill="D9E1F2"/>
            <w:noWrap/>
            <w:vAlign w:val="bottom"/>
            <w:hideMark/>
          </w:tcPr>
          <w:p w14:paraId="1E387F54"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5C0E2332" w14:textId="77777777" w:rsidTr="00C82015">
        <w:trPr>
          <w:trHeight w:val="300"/>
        </w:trPr>
        <w:tc>
          <w:tcPr>
            <w:tcW w:w="885" w:type="pct"/>
            <w:tcBorders>
              <w:top w:val="nil"/>
              <w:left w:val="nil"/>
              <w:bottom w:val="nil"/>
              <w:right w:val="nil"/>
            </w:tcBorders>
            <w:shd w:val="clear" w:color="auto" w:fill="auto"/>
            <w:noWrap/>
            <w:vAlign w:val="bottom"/>
            <w:hideMark/>
          </w:tcPr>
          <w:p w14:paraId="657C7C43"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AgPestF2-AgPestR1a</w:t>
            </w:r>
          </w:p>
        </w:tc>
        <w:tc>
          <w:tcPr>
            <w:tcW w:w="913" w:type="pct"/>
            <w:tcBorders>
              <w:top w:val="nil"/>
              <w:left w:val="nil"/>
              <w:bottom w:val="nil"/>
              <w:right w:val="nil"/>
            </w:tcBorders>
            <w:shd w:val="clear" w:color="auto" w:fill="auto"/>
            <w:noWrap/>
            <w:vAlign w:val="bottom"/>
            <w:hideMark/>
          </w:tcPr>
          <w:p w14:paraId="75EFBF11"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HGAYATRGCHTTYCCHCG</w:t>
            </w:r>
          </w:p>
        </w:tc>
        <w:tc>
          <w:tcPr>
            <w:tcW w:w="273" w:type="pct"/>
            <w:tcBorders>
              <w:top w:val="nil"/>
              <w:left w:val="nil"/>
              <w:bottom w:val="nil"/>
              <w:right w:val="nil"/>
            </w:tcBorders>
            <w:shd w:val="clear" w:color="000000" w:fill="D9E1F2"/>
            <w:noWrap/>
            <w:vAlign w:val="bottom"/>
            <w:hideMark/>
          </w:tcPr>
          <w:p w14:paraId="0981D5E8"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226</w:t>
            </w:r>
          </w:p>
        </w:tc>
        <w:tc>
          <w:tcPr>
            <w:tcW w:w="746" w:type="pct"/>
            <w:tcBorders>
              <w:top w:val="nil"/>
              <w:left w:val="nil"/>
              <w:bottom w:val="nil"/>
              <w:right w:val="nil"/>
            </w:tcBorders>
            <w:shd w:val="clear" w:color="auto" w:fill="auto"/>
            <w:noWrap/>
            <w:vAlign w:val="bottom"/>
            <w:hideMark/>
          </w:tcPr>
          <w:p w14:paraId="6E999571"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GTRATRAARTTDAYWGMHCC</w:t>
            </w:r>
          </w:p>
        </w:tc>
        <w:tc>
          <w:tcPr>
            <w:tcW w:w="273" w:type="pct"/>
            <w:tcBorders>
              <w:top w:val="nil"/>
              <w:left w:val="nil"/>
              <w:bottom w:val="nil"/>
              <w:right w:val="nil"/>
            </w:tcBorders>
            <w:shd w:val="clear" w:color="000000" w:fill="D9E1F2"/>
            <w:noWrap/>
            <w:vAlign w:val="bottom"/>
            <w:hideMark/>
          </w:tcPr>
          <w:p w14:paraId="15070AA3"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434</w:t>
            </w:r>
          </w:p>
        </w:tc>
        <w:tc>
          <w:tcPr>
            <w:tcW w:w="301" w:type="pct"/>
            <w:tcBorders>
              <w:top w:val="nil"/>
              <w:left w:val="nil"/>
              <w:bottom w:val="nil"/>
              <w:right w:val="nil"/>
            </w:tcBorders>
            <w:shd w:val="clear" w:color="000000" w:fill="D9E1F2"/>
            <w:vAlign w:val="center"/>
            <w:hideMark/>
          </w:tcPr>
          <w:p w14:paraId="3E3AD5AA"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191</w:t>
            </w:r>
          </w:p>
        </w:tc>
        <w:tc>
          <w:tcPr>
            <w:tcW w:w="1610" w:type="pct"/>
            <w:tcBorders>
              <w:top w:val="nil"/>
              <w:left w:val="nil"/>
              <w:bottom w:val="nil"/>
              <w:right w:val="nil"/>
            </w:tcBorders>
            <w:shd w:val="clear" w:color="000000" w:fill="D9E1F2"/>
            <w:noWrap/>
            <w:vAlign w:val="bottom"/>
            <w:hideMark/>
          </w:tcPr>
          <w:p w14:paraId="7223A216"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0884B4F2" w14:textId="77777777" w:rsidTr="00C82015">
        <w:trPr>
          <w:trHeight w:val="300"/>
        </w:trPr>
        <w:tc>
          <w:tcPr>
            <w:tcW w:w="885" w:type="pct"/>
            <w:tcBorders>
              <w:top w:val="nil"/>
              <w:left w:val="nil"/>
              <w:bottom w:val="nil"/>
              <w:right w:val="nil"/>
            </w:tcBorders>
            <w:shd w:val="clear" w:color="auto" w:fill="auto"/>
            <w:noWrap/>
            <w:vAlign w:val="bottom"/>
            <w:hideMark/>
          </w:tcPr>
          <w:p w14:paraId="25692316"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lastRenderedPageBreak/>
              <w:t>AgPestF2-AgPestR1b</w:t>
            </w:r>
          </w:p>
        </w:tc>
        <w:tc>
          <w:tcPr>
            <w:tcW w:w="913" w:type="pct"/>
            <w:tcBorders>
              <w:top w:val="nil"/>
              <w:left w:val="nil"/>
              <w:bottom w:val="nil"/>
              <w:right w:val="nil"/>
            </w:tcBorders>
            <w:shd w:val="clear" w:color="auto" w:fill="auto"/>
            <w:noWrap/>
            <w:vAlign w:val="bottom"/>
            <w:hideMark/>
          </w:tcPr>
          <w:p w14:paraId="6DDAEC5B"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HGAYATRGCHTTYCCHCG</w:t>
            </w:r>
          </w:p>
        </w:tc>
        <w:tc>
          <w:tcPr>
            <w:tcW w:w="273" w:type="pct"/>
            <w:tcBorders>
              <w:top w:val="nil"/>
              <w:left w:val="nil"/>
              <w:bottom w:val="nil"/>
              <w:right w:val="nil"/>
            </w:tcBorders>
            <w:shd w:val="clear" w:color="000000" w:fill="D9E1F2"/>
            <w:noWrap/>
            <w:vAlign w:val="bottom"/>
            <w:hideMark/>
          </w:tcPr>
          <w:p w14:paraId="02AA44F7"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226</w:t>
            </w:r>
          </w:p>
        </w:tc>
        <w:tc>
          <w:tcPr>
            <w:tcW w:w="746" w:type="pct"/>
            <w:tcBorders>
              <w:top w:val="nil"/>
              <w:left w:val="nil"/>
              <w:bottom w:val="nil"/>
              <w:right w:val="nil"/>
            </w:tcBorders>
            <w:shd w:val="clear" w:color="auto" w:fill="auto"/>
            <w:noWrap/>
            <w:vAlign w:val="bottom"/>
            <w:hideMark/>
          </w:tcPr>
          <w:p w14:paraId="20848FBE"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ARAATWGADGADAYWCCWGC</w:t>
            </w:r>
          </w:p>
        </w:tc>
        <w:tc>
          <w:tcPr>
            <w:tcW w:w="273" w:type="pct"/>
            <w:tcBorders>
              <w:top w:val="nil"/>
              <w:left w:val="nil"/>
              <w:bottom w:val="nil"/>
              <w:right w:val="nil"/>
            </w:tcBorders>
            <w:shd w:val="clear" w:color="auto" w:fill="auto"/>
            <w:noWrap/>
            <w:vAlign w:val="bottom"/>
            <w:hideMark/>
          </w:tcPr>
          <w:p w14:paraId="188B372E"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413</w:t>
            </w:r>
          </w:p>
        </w:tc>
        <w:tc>
          <w:tcPr>
            <w:tcW w:w="301" w:type="pct"/>
            <w:tcBorders>
              <w:top w:val="nil"/>
              <w:left w:val="nil"/>
              <w:bottom w:val="nil"/>
              <w:right w:val="nil"/>
            </w:tcBorders>
            <w:shd w:val="clear" w:color="000000" w:fill="D9E1F2"/>
            <w:vAlign w:val="center"/>
            <w:hideMark/>
          </w:tcPr>
          <w:p w14:paraId="0A33D92E"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170</w:t>
            </w:r>
          </w:p>
        </w:tc>
        <w:tc>
          <w:tcPr>
            <w:tcW w:w="1610" w:type="pct"/>
            <w:tcBorders>
              <w:top w:val="nil"/>
              <w:left w:val="nil"/>
              <w:bottom w:val="nil"/>
              <w:right w:val="nil"/>
            </w:tcBorders>
            <w:shd w:val="clear" w:color="000000" w:fill="D9E1F2"/>
            <w:noWrap/>
            <w:vAlign w:val="bottom"/>
            <w:hideMark/>
          </w:tcPr>
          <w:p w14:paraId="021F5ECE"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25B32418" w14:textId="77777777" w:rsidTr="00C82015">
        <w:trPr>
          <w:trHeight w:val="300"/>
        </w:trPr>
        <w:tc>
          <w:tcPr>
            <w:tcW w:w="885" w:type="pct"/>
            <w:tcBorders>
              <w:top w:val="nil"/>
              <w:left w:val="nil"/>
              <w:bottom w:val="nil"/>
              <w:right w:val="nil"/>
            </w:tcBorders>
            <w:shd w:val="clear" w:color="auto" w:fill="auto"/>
            <w:noWrap/>
            <w:vAlign w:val="bottom"/>
            <w:hideMark/>
          </w:tcPr>
          <w:p w14:paraId="661E4C8E"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AgPestF2-AgPestR2</w:t>
            </w:r>
          </w:p>
        </w:tc>
        <w:tc>
          <w:tcPr>
            <w:tcW w:w="913" w:type="pct"/>
            <w:tcBorders>
              <w:top w:val="nil"/>
              <w:left w:val="nil"/>
              <w:bottom w:val="nil"/>
              <w:right w:val="nil"/>
            </w:tcBorders>
            <w:shd w:val="clear" w:color="auto" w:fill="auto"/>
            <w:noWrap/>
            <w:vAlign w:val="bottom"/>
            <w:hideMark/>
          </w:tcPr>
          <w:p w14:paraId="49BB5853"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HGAYATRGCHTTYCCHCG</w:t>
            </w:r>
          </w:p>
        </w:tc>
        <w:tc>
          <w:tcPr>
            <w:tcW w:w="273" w:type="pct"/>
            <w:tcBorders>
              <w:top w:val="nil"/>
              <w:left w:val="nil"/>
              <w:bottom w:val="nil"/>
              <w:right w:val="nil"/>
            </w:tcBorders>
            <w:shd w:val="clear" w:color="000000" w:fill="D9E1F2"/>
            <w:noWrap/>
            <w:vAlign w:val="bottom"/>
            <w:hideMark/>
          </w:tcPr>
          <w:p w14:paraId="333837A7"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226</w:t>
            </w:r>
          </w:p>
        </w:tc>
        <w:tc>
          <w:tcPr>
            <w:tcW w:w="746" w:type="pct"/>
            <w:tcBorders>
              <w:top w:val="nil"/>
              <w:left w:val="nil"/>
              <w:bottom w:val="nil"/>
              <w:right w:val="nil"/>
            </w:tcBorders>
            <w:shd w:val="clear" w:color="auto" w:fill="auto"/>
            <w:noWrap/>
            <w:vAlign w:val="bottom"/>
            <w:hideMark/>
          </w:tcPr>
          <w:p w14:paraId="4F0BB994"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RACWGMTCAVAYAAATARDGG</w:t>
            </w:r>
          </w:p>
        </w:tc>
        <w:tc>
          <w:tcPr>
            <w:tcW w:w="273" w:type="pct"/>
            <w:tcBorders>
              <w:top w:val="nil"/>
              <w:left w:val="nil"/>
              <w:bottom w:val="nil"/>
              <w:right w:val="nil"/>
            </w:tcBorders>
            <w:shd w:val="clear" w:color="000000" w:fill="D9E1F2"/>
            <w:noWrap/>
            <w:vAlign w:val="bottom"/>
            <w:hideMark/>
          </w:tcPr>
          <w:p w14:paraId="0FDB4826"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500</w:t>
            </w:r>
          </w:p>
        </w:tc>
        <w:tc>
          <w:tcPr>
            <w:tcW w:w="301" w:type="pct"/>
            <w:tcBorders>
              <w:top w:val="nil"/>
              <w:left w:val="nil"/>
              <w:bottom w:val="nil"/>
              <w:right w:val="nil"/>
            </w:tcBorders>
            <w:shd w:val="clear" w:color="000000" w:fill="D9E1F2"/>
            <w:vAlign w:val="center"/>
            <w:hideMark/>
          </w:tcPr>
          <w:p w14:paraId="2077C1DB"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257</w:t>
            </w:r>
          </w:p>
        </w:tc>
        <w:tc>
          <w:tcPr>
            <w:tcW w:w="1610" w:type="pct"/>
            <w:tcBorders>
              <w:top w:val="nil"/>
              <w:left w:val="nil"/>
              <w:bottom w:val="nil"/>
              <w:right w:val="nil"/>
            </w:tcBorders>
            <w:shd w:val="clear" w:color="000000" w:fill="D9E1F2"/>
            <w:noWrap/>
            <w:vAlign w:val="bottom"/>
            <w:hideMark/>
          </w:tcPr>
          <w:p w14:paraId="2D54B511"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18C0F026" w14:textId="77777777" w:rsidTr="00C82015">
        <w:trPr>
          <w:trHeight w:val="300"/>
        </w:trPr>
        <w:tc>
          <w:tcPr>
            <w:tcW w:w="885" w:type="pct"/>
            <w:tcBorders>
              <w:top w:val="nil"/>
              <w:left w:val="nil"/>
              <w:bottom w:val="nil"/>
              <w:right w:val="nil"/>
            </w:tcBorders>
            <w:shd w:val="clear" w:color="auto" w:fill="auto"/>
            <w:noWrap/>
            <w:vAlign w:val="bottom"/>
            <w:hideMark/>
          </w:tcPr>
          <w:p w14:paraId="647C7B2B"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ArF5-AgPestR1a</w:t>
            </w:r>
          </w:p>
        </w:tc>
        <w:tc>
          <w:tcPr>
            <w:tcW w:w="913" w:type="pct"/>
            <w:tcBorders>
              <w:top w:val="nil"/>
              <w:left w:val="nil"/>
              <w:bottom w:val="nil"/>
              <w:right w:val="nil"/>
            </w:tcBorders>
            <w:shd w:val="clear" w:color="000000" w:fill="D9E1F2"/>
            <w:noWrap/>
            <w:vAlign w:val="bottom"/>
            <w:hideMark/>
          </w:tcPr>
          <w:p w14:paraId="60D3E6C5"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GCICCIGAYATRKCITTYCCICG</w:t>
            </w:r>
          </w:p>
        </w:tc>
        <w:tc>
          <w:tcPr>
            <w:tcW w:w="273" w:type="pct"/>
            <w:tcBorders>
              <w:top w:val="nil"/>
              <w:left w:val="nil"/>
              <w:bottom w:val="nil"/>
              <w:right w:val="nil"/>
            </w:tcBorders>
            <w:shd w:val="clear" w:color="000000" w:fill="D9E1F2"/>
            <w:noWrap/>
            <w:vAlign w:val="bottom"/>
            <w:hideMark/>
          </w:tcPr>
          <w:p w14:paraId="3C48F593"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221</w:t>
            </w:r>
          </w:p>
        </w:tc>
        <w:tc>
          <w:tcPr>
            <w:tcW w:w="746" w:type="pct"/>
            <w:tcBorders>
              <w:top w:val="nil"/>
              <w:left w:val="nil"/>
              <w:bottom w:val="nil"/>
              <w:right w:val="nil"/>
            </w:tcBorders>
            <w:shd w:val="clear" w:color="auto" w:fill="auto"/>
            <w:noWrap/>
            <w:vAlign w:val="bottom"/>
            <w:hideMark/>
          </w:tcPr>
          <w:p w14:paraId="714944BB"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GTRATRAARTTDAYWGMHCC</w:t>
            </w:r>
          </w:p>
        </w:tc>
        <w:tc>
          <w:tcPr>
            <w:tcW w:w="273" w:type="pct"/>
            <w:tcBorders>
              <w:top w:val="nil"/>
              <w:left w:val="nil"/>
              <w:bottom w:val="nil"/>
              <w:right w:val="nil"/>
            </w:tcBorders>
            <w:shd w:val="clear" w:color="000000" w:fill="D9E1F2"/>
            <w:noWrap/>
            <w:vAlign w:val="bottom"/>
            <w:hideMark/>
          </w:tcPr>
          <w:p w14:paraId="22DEABD4"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434</w:t>
            </w:r>
          </w:p>
        </w:tc>
        <w:tc>
          <w:tcPr>
            <w:tcW w:w="301" w:type="pct"/>
            <w:tcBorders>
              <w:top w:val="nil"/>
              <w:left w:val="nil"/>
              <w:bottom w:val="nil"/>
              <w:right w:val="nil"/>
            </w:tcBorders>
            <w:shd w:val="clear" w:color="000000" w:fill="D9E1F2"/>
            <w:vAlign w:val="center"/>
            <w:hideMark/>
          </w:tcPr>
          <w:p w14:paraId="1EDB5F8F"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191</w:t>
            </w:r>
          </w:p>
        </w:tc>
        <w:tc>
          <w:tcPr>
            <w:tcW w:w="1610" w:type="pct"/>
            <w:tcBorders>
              <w:top w:val="nil"/>
              <w:left w:val="nil"/>
              <w:bottom w:val="nil"/>
              <w:right w:val="nil"/>
            </w:tcBorders>
            <w:shd w:val="clear" w:color="000000" w:fill="D9E1F2"/>
            <w:noWrap/>
            <w:vAlign w:val="bottom"/>
            <w:hideMark/>
          </w:tcPr>
          <w:p w14:paraId="60EDAADE"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0ED2C06A" w14:textId="77777777" w:rsidTr="00C82015">
        <w:trPr>
          <w:trHeight w:val="300"/>
        </w:trPr>
        <w:tc>
          <w:tcPr>
            <w:tcW w:w="885" w:type="pct"/>
            <w:tcBorders>
              <w:top w:val="nil"/>
              <w:left w:val="nil"/>
              <w:bottom w:val="nil"/>
              <w:right w:val="nil"/>
            </w:tcBorders>
            <w:shd w:val="clear" w:color="auto" w:fill="auto"/>
            <w:noWrap/>
            <w:vAlign w:val="bottom"/>
            <w:hideMark/>
          </w:tcPr>
          <w:p w14:paraId="3CC9B20E"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ArF5-AgPestR1b</w:t>
            </w:r>
          </w:p>
        </w:tc>
        <w:tc>
          <w:tcPr>
            <w:tcW w:w="913" w:type="pct"/>
            <w:tcBorders>
              <w:top w:val="nil"/>
              <w:left w:val="nil"/>
              <w:bottom w:val="nil"/>
              <w:right w:val="nil"/>
            </w:tcBorders>
            <w:shd w:val="clear" w:color="000000" w:fill="D9E1F2"/>
            <w:noWrap/>
            <w:vAlign w:val="bottom"/>
            <w:hideMark/>
          </w:tcPr>
          <w:p w14:paraId="15A7C06C"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GCICCIGAYATRKCITTYCCICG</w:t>
            </w:r>
          </w:p>
        </w:tc>
        <w:tc>
          <w:tcPr>
            <w:tcW w:w="273" w:type="pct"/>
            <w:tcBorders>
              <w:top w:val="nil"/>
              <w:left w:val="nil"/>
              <w:bottom w:val="nil"/>
              <w:right w:val="nil"/>
            </w:tcBorders>
            <w:shd w:val="clear" w:color="000000" w:fill="D9E1F2"/>
            <w:noWrap/>
            <w:vAlign w:val="bottom"/>
            <w:hideMark/>
          </w:tcPr>
          <w:p w14:paraId="5F8DB3DE"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221</w:t>
            </w:r>
          </w:p>
        </w:tc>
        <w:tc>
          <w:tcPr>
            <w:tcW w:w="746" w:type="pct"/>
            <w:tcBorders>
              <w:top w:val="nil"/>
              <w:left w:val="nil"/>
              <w:bottom w:val="nil"/>
              <w:right w:val="nil"/>
            </w:tcBorders>
            <w:shd w:val="clear" w:color="auto" w:fill="auto"/>
            <w:noWrap/>
            <w:vAlign w:val="bottom"/>
            <w:hideMark/>
          </w:tcPr>
          <w:p w14:paraId="72555796"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ARAATWGADGADAYWCCWGC</w:t>
            </w:r>
          </w:p>
        </w:tc>
        <w:tc>
          <w:tcPr>
            <w:tcW w:w="273" w:type="pct"/>
            <w:tcBorders>
              <w:top w:val="nil"/>
              <w:left w:val="nil"/>
              <w:bottom w:val="nil"/>
              <w:right w:val="nil"/>
            </w:tcBorders>
            <w:shd w:val="clear" w:color="auto" w:fill="auto"/>
            <w:noWrap/>
            <w:vAlign w:val="bottom"/>
            <w:hideMark/>
          </w:tcPr>
          <w:p w14:paraId="4F0E06C8"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413</w:t>
            </w:r>
          </w:p>
        </w:tc>
        <w:tc>
          <w:tcPr>
            <w:tcW w:w="301" w:type="pct"/>
            <w:tcBorders>
              <w:top w:val="nil"/>
              <w:left w:val="nil"/>
              <w:bottom w:val="nil"/>
              <w:right w:val="nil"/>
            </w:tcBorders>
            <w:shd w:val="clear" w:color="000000" w:fill="D9E1F2"/>
            <w:vAlign w:val="center"/>
            <w:hideMark/>
          </w:tcPr>
          <w:p w14:paraId="0BCA5FBB"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170</w:t>
            </w:r>
          </w:p>
        </w:tc>
        <w:tc>
          <w:tcPr>
            <w:tcW w:w="1610" w:type="pct"/>
            <w:tcBorders>
              <w:top w:val="nil"/>
              <w:left w:val="nil"/>
              <w:bottom w:val="nil"/>
              <w:right w:val="nil"/>
            </w:tcBorders>
            <w:shd w:val="clear" w:color="000000" w:fill="D9E1F2"/>
            <w:noWrap/>
            <w:vAlign w:val="bottom"/>
            <w:hideMark/>
          </w:tcPr>
          <w:p w14:paraId="6DC73896"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7ACAB3C0" w14:textId="77777777" w:rsidTr="00C82015">
        <w:trPr>
          <w:trHeight w:val="300"/>
        </w:trPr>
        <w:tc>
          <w:tcPr>
            <w:tcW w:w="885" w:type="pct"/>
            <w:tcBorders>
              <w:top w:val="nil"/>
              <w:left w:val="nil"/>
              <w:bottom w:val="nil"/>
              <w:right w:val="nil"/>
            </w:tcBorders>
            <w:shd w:val="clear" w:color="auto" w:fill="auto"/>
            <w:noWrap/>
            <w:vAlign w:val="bottom"/>
            <w:hideMark/>
          </w:tcPr>
          <w:p w14:paraId="462C67F7"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ArF5-AgPestR2</w:t>
            </w:r>
          </w:p>
        </w:tc>
        <w:tc>
          <w:tcPr>
            <w:tcW w:w="913" w:type="pct"/>
            <w:tcBorders>
              <w:top w:val="nil"/>
              <w:left w:val="nil"/>
              <w:bottom w:val="nil"/>
              <w:right w:val="nil"/>
            </w:tcBorders>
            <w:shd w:val="clear" w:color="000000" w:fill="D9E1F2"/>
            <w:noWrap/>
            <w:vAlign w:val="bottom"/>
            <w:hideMark/>
          </w:tcPr>
          <w:p w14:paraId="1F26617F"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GCICCIGAYATRKCITTYCCICG</w:t>
            </w:r>
          </w:p>
        </w:tc>
        <w:tc>
          <w:tcPr>
            <w:tcW w:w="273" w:type="pct"/>
            <w:tcBorders>
              <w:top w:val="nil"/>
              <w:left w:val="nil"/>
              <w:bottom w:val="nil"/>
              <w:right w:val="nil"/>
            </w:tcBorders>
            <w:shd w:val="clear" w:color="000000" w:fill="D9E1F2"/>
            <w:noWrap/>
            <w:vAlign w:val="bottom"/>
            <w:hideMark/>
          </w:tcPr>
          <w:p w14:paraId="1E76FA30"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221</w:t>
            </w:r>
          </w:p>
        </w:tc>
        <w:tc>
          <w:tcPr>
            <w:tcW w:w="746" w:type="pct"/>
            <w:tcBorders>
              <w:top w:val="nil"/>
              <w:left w:val="nil"/>
              <w:bottom w:val="nil"/>
              <w:right w:val="nil"/>
            </w:tcBorders>
            <w:shd w:val="clear" w:color="auto" w:fill="auto"/>
            <w:noWrap/>
            <w:vAlign w:val="bottom"/>
            <w:hideMark/>
          </w:tcPr>
          <w:p w14:paraId="6B6452EC"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RACWGMTCAVAYAAATARDGG</w:t>
            </w:r>
          </w:p>
        </w:tc>
        <w:tc>
          <w:tcPr>
            <w:tcW w:w="273" w:type="pct"/>
            <w:tcBorders>
              <w:top w:val="nil"/>
              <w:left w:val="nil"/>
              <w:bottom w:val="nil"/>
              <w:right w:val="nil"/>
            </w:tcBorders>
            <w:shd w:val="clear" w:color="000000" w:fill="D9E1F2"/>
            <w:noWrap/>
            <w:vAlign w:val="bottom"/>
            <w:hideMark/>
          </w:tcPr>
          <w:p w14:paraId="02CE1CA0"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500</w:t>
            </w:r>
          </w:p>
        </w:tc>
        <w:tc>
          <w:tcPr>
            <w:tcW w:w="301" w:type="pct"/>
            <w:tcBorders>
              <w:top w:val="nil"/>
              <w:left w:val="nil"/>
              <w:bottom w:val="nil"/>
              <w:right w:val="nil"/>
            </w:tcBorders>
            <w:shd w:val="clear" w:color="000000" w:fill="D9E1F2"/>
            <w:vAlign w:val="center"/>
            <w:hideMark/>
          </w:tcPr>
          <w:p w14:paraId="2C344BAD"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257</w:t>
            </w:r>
          </w:p>
        </w:tc>
        <w:tc>
          <w:tcPr>
            <w:tcW w:w="1610" w:type="pct"/>
            <w:tcBorders>
              <w:top w:val="nil"/>
              <w:left w:val="nil"/>
              <w:bottom w:val="nil"/>
              <w:right w:val="nil"/>
            </w:tcBorders>
            <w:shd w:val="clear" w:color="000000" w:fill="D9E1F2"/>
            <w:noWrap/>
            <w:vAlign w:val="bottom"/>
            <w:hideMark/>
          </w:tcPr>
          <w:p w14:paraId="6D47E936"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10FED053" w14:textId="77777777" w:rsidTr="00C82015">
        <w:trPr>
          <w:trHeight w:val="300"/>
        </w:trPr>
        <w:tc>
          <w:tcPr>
            <w:tcW w:w="885" w:type="pct"/>
            <w:tcBorders>
              <w:top w:val="nil"/>
              <w:left w:val="nil"/>
              <w:bottom w:val="nil"/>
              <w:right w:val="nil"/>
            </w:tcBorders>
            <w:shd w:val="clear" w:color="auto" w:fill="auto"/>
            <w:noWrap/>
            <w:vAlign w:val="bottom"/>
            <w:hideMark/>
          </w:tcPr>
          <w:p w14:paraId="4D5EC5C2"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BF2-AgPestR1a</w:t>
            </w:r>
          </w:p>
        </w:tc>
        <w:tc>
          <w:tcPr>
            <w:tcW w:w="913" w:type="pct"/>
            <w:tcBorders>
              <w:top w:val="nil"/>
              <w:left w:val="nil"/>
              <w:bottom w:val="nil"/>
              <w:right w:val="nil"/>
            </w:tcBorders>
            <w:shd w:val="clear" w:color="000000" w:fill="D9E1F2"/>
            <w:noWrap/>
            <w:vAlign w:val="bottom"/>
            <w:hideMark/>
          </w:tcPr>
          <w:p w14:paraId="663AC6D1"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GCHCCHGAYATRGCHTTYCC</w:t>
            </w:r>
          </w:p>
        </w:tc>
        <w:tc>
          <w:tcPr>
            <w:tcW w:w="273" w:type="pct"/>
            <w:tcBorders>
              <w:top w:val="nil"/>
              <w:left w:val="nil"/>
              <w:bottom w:val="nil"/>
              <w:right w:val="nil"/>
            </w:tcBorders>
            <w:shd w:val="clear" w:color="000000" w:fill="D9E1F2"/>
            <w:noWrap/>
            <w:vAlign w:val="bottom"/>
            <w:hideMark/>
          </w:tcPr>
          <w:p w14:paraId="77EA32CA"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221</w:t>
            </w:r>
          </w:p>
        </w:tc>
        <w:tc>
          <w:tcPr>
            <w:tcW w:w="746" w:type="pct"/>
            <w:tcBorders>
              <w:top w:val="nil"/>
              <w:left w:val="nil"/>
              <w:bottom w:val="nil"/>
              <w:right w:val="nil"/>
            </w:tcBorders>
            <w:shd w:val="clear" w:color="auto" w:fill="auto"/>
            <w:noWrap/>
            <w:vAlign w:val="bottom"/>
            <w:hideMark/>
          </w:tcPr>
          <w:p w14:paraId="4BFD803A"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GTRATRAARTTDAYWGMHCC</w:t>
            </w:r>
          </w:p>
        </w:tc>
        <w:tc>
          <w:tcPr>
            <w:tcW w:w="273" w:type="pct"/>
            <w:tcBorders>
              <w:top w:val="nil"/>
              <w:left w:val="nil"/>
              <w:bottom w:val="nil"/>
              <w:right w:val="nil"/>
            </w:tcBorders>
            <w:shd w:val="clear" w:color="000000" w:fill="D9E1F2"/>
            <w:noWrap/>
            <w:vAlign w:val="bottom"/>
            <w:hideMark/>
          </w:tcPr>
          <w:p w14:paraId="572D10D4"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434</w:t>
            </w:r>
          </w:p>
        </w:tc>
        <w:tc>
          <w:tcPr>
            <w:tcW w:w="301" w:type="pct"/>
            <w:tcBorders>
              <w:top w:val="nil"/>
              <w:left w:val="nil"/>
              <w:bottom w:val="nil"/>
              <w:right w:val="nil"/>
            </w:tcBorders>
            <w:shd w:val="clear" w:color="000000" w:fill="D9E1F2"/>
            <w:vAlign w:val="center"/>
            <w:hideMark/>
          </w:tcPr>
          <w:p w14:paraId="292C3A2C"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194</w:t>
            </w:r>
          </w:p>
        </w:tc>
        <w:tc>
          <w:tcPr>
            <w:tcW w:w="1610" w:type="pct"/>
            <w:tcBorders>
              <w:top w:val="nil"/>
              <w:left w:val="nil"/>
              <w:bottom w:val="nil"/>
              <w:right w:val="nil"/>
            </w:tcBorders>
            <w:shd w:val="clear" w:color="000000" w:fill="D9E1F2"/>
            <w:noWrap/>
            <w:vAlign w:val="bottom"/>
            <w:hideMark/>
          </w:tcPr>
          <w:p w14:paraId="20C06C13"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23EE99DC" w14:textId="77777777" w:rsidTr="00C82015">
        <w:trPr>
          <w:trHeight w:val="300"/>
        </w:trPr>
        <w:tc>
          <w:tcPr>
            <w:tcW w:w="885" w:type="pct"/>
            <w:tcBorders>
              <w:top w:val="nil"/>
              <w:left w:val="nil"/>
              <w:bottom w:val="nil"/>
              <w:right w:val="nil"/>
            </w:tcBorders>
            <w:shd w:val="clear" w:color="auto" w:fill="auto"/>
            <w:noWrap/>
            <w:vAlign w:val="bottom"/>
            <w:hideMark/>
          </w:tcPr>
          <w:p w14:paraId="1A8AB534"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BF2-AgPestR1b</w:t>
            </w:r>
          </w:p>
        </w:tc>
        <w:tc>
          <w:tcPr>
            <w:tcW w:w="913" w:type="pct"/>
            <w:tcBorders>
              <w:top w:val="nil"/>
              <w:left w:val="nil"/>
              <w:bottom w:val="nil"/>
              <w:right w:val="nil"/>
            </w:tcBorders>
            <w:shd w:val="clear" w:color="000000" w:fill="D9E1F2"/>
            <w:noWrap/>
            <w:vAlign w:val="bottom"/>
            <w:hideMark/>
          </w:tcPr>
          <w:p w14:paraId="493F22FD"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GCHCCHGAYATRGCHTTYCC</w:t>
            </w:r>
          </w:p>
        </w:tc>
        <w:tc>
          <w:tcPr>
            <w:tcW w:w="273" w:type="pct"/>
            <w:tcBorders>
              <w:top w:val="nil"/>
              <w:left w:val="nil"/>
              <w:bottom w:val="nil"/>
              <w:right w:val="nil"/>
            </w:tcBorders>
            <w:shd w:val="clear" w:color="000000" w:fill="D9E1F2"/>
            <w:noWrap/>
            <w:vAlign w:val="bottom"/>
            <w:hideMark/>
          </w:tcPr>
          <w:p w14:paraId="162E1A01"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221</w:t>
            </w:r>
          </w:p>
        </w:tc>
        <w:tc>
          <w:tcPr>
            <w:tcW w:w="746" w:type="pct"/>
            <w:tcBorders>
              <w:top w:val="nil"/>
              <w:left w:val="nil"/>
              <w:bottom w:val="nil"/>
              <w:right w:val="nil"/>
            </w:tcBorders>
            <w:shd w:val="clear" w:color="auto" w:fill="auto"/>
            <w:noWrap/>
            <w:vAlign w:val="bottom"/>
            <w:hideMark/>
          </w:tcPr>
          <w:p w14:paraId="2CAA2637"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ARAATWGADGADAYWCCWGC</w:t>
            </w:r>
          </w:p>
        </w:tc>
        <w:tc>
          <w:tcPr>
            <w:tcW w:w="273" w:type="pct"/>
            <w:tcBorders>
              <w:top w:val="nil"/>
              <w:left w:val="nil"/>
              <w:bottom w:val="nil"/>
              <w:right w:val="nil"/>
            </w:tcBorders>
            <w:shd w:val="clear" w:color="auto" w:fill="auto"/>
            <w:noWrap/>
            <w:vAlign w:val="bottom"/>
            <w:hideMark/>
          </w:tcPr>
          <w:p w14:paraId="1688D381"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413</w:t>
            </w:r>
          </w:p>
        </w:tc>
        <w:tc>
          <w:tcPr>
            <w:tcW w:w="301" w:type="pct"/>
            <w:tcBorders>
              <w:top w:val="nil"/>
              <w:left w:val="nil"/>
              <w:bottom w:val="nil"/>
              <w:right w:val="nil"/>
            </w:tcBorders>
            <w:shd w:val="clear" w:color="000000" w:fill="D9E1F2"/>
            <w:vAlign w:val="center"/>
            <w:hideMark/>
          </w:tcPr>
          <w:p w14:paraId="18192F21"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173</w:t>
            </w:r>
          </w:p>
        </w:tc>
        <w:tc>
          <w:tcPr>
            <w:tcW w:w="1610" w:type="pct"/>
            <w:tcBorders>
              <w:top w:val="nil"/>
              <w:left w:val="nil"/>
              <w:bottom w:val="nil"/>
              <w:right w:val="nil"/>
            </w:tcBorders>
            <w:shd w:val="clear" w:color="000000" w:fill="D9E1F2"/>
            <w:noWrap/>
            <w:vAlign w:val="bottom"/>
            <w:hideMark/>
          </w:tcPr>
          <w:p w14:paraId="1931BB64"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46E52D46" w14:textId="77777777" w:rsidTr="00C82015">
        <w:trPr>
          <w:trHeight w:val="300"/>
        </w:trPr>
        <w:tc>
          <w:tcPr>
            <w:tcW w:w="885" w:type="pct"/>
            <w:tcBorders>
              <w:top w:val="nil"/>
              <w:left w:val="nil"/>
              <w:bottom w:val="nil"/>
              <w:right w:val="nil"/>
            </w:tcBorders>
            <w:shd w:val="clear" w:color="auto" w:fill="auto"/>
            <w:noWrap/>
            <w:vAlign w:val="bottom"/>
            <w:hideMark/>
          </w:tcPr>
          <w:p w14:paraId="13915F0C"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BF2-AgPestR2</w:t>
            </w:r>
          </w:p>
        </w:tc>
        <w:tc>
          <w:tcPr>
            <w:tcW w:w="913" w:type="pct"/>
            <w:tcBorders>
              <w:top w:val="nil"/>
              <w:left w:val="nil"/>
              <w:bottom w:val="nil"/>
              <w:right w:val="nil"/>
            </w:tcBorders>
            <w:shd w:val="clear" w:color="000000" w:fill="D9E1F2"/>
            <w:noWrap/>
            <w:vAlign w:val="bottom"/>
            <w:hideMark/>
          </w:tcPr>
          <w:p w14:paraId="2804983E"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GCHCCHGAYATRGCHTTYCC</w:t>
            </w:r>
          </w:p>
        </w:tc>
        <w:tc>
          <w:tcPr>
            <w:tcW w:w="273" w:type="pct"/>
            <w:tcBorders>
              <w:top w:val="nil"/>
              <w:left w:val="nil"/>
              <w:bottom w:val="nil"/>
              <w:right w:val="nil"/>
            </w:tcBorders>
            <w:shd w:val="clear" w:color="000000" w:fill="D9E1F2"/>
            <w:noWrap/>
            <w:vAlign w:val="bottom"/>
            <w:hideMark/>
          </w:tcPr>
          <w:p w14:paraId="53515086"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221</w:t>
            </w:r>
          </w:p>
        </w:tc>
        <w:tc>
          <w:tcPr>
            <w:tcW w:w="746" w:type="pct"/>
            <w:tcBorders>
              <w:top w:val="nil"/>
              <w:left w:val="nil"/>
              <w:bottom w:val="nil"/>
              <w:right w:val="nil"/>
            </w:tcBorders>
            <w:shd w:val="clear" w:color="auto" w:fill="auto"/>
            <w:noWrap/>
            <w:vAlign w:val="bottom"/>
            <w:hideMark/>
          </w:tcPr>
          <w:p w14:paraId="7A7A3173"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RACWGMTCAVAYAAATARDGG</w:t>
            </w:r>
          </w:p>
        </w:tc>
        <w:tc>
          <w:tcPr>
            <w:tcW w:w="273" w:type="pct"/>
            <w:tcBorders>
              <w:top w:val="nil"/>
              <w:left w:val="nil"/>
              <w:bottom w:val="nil"/>
              <w:right w:val="nil"/>
            </w:tcBorders>
            <w:shd w:val="clear" w:color="000000" w:fill="D9E1F2"/>
            <w:noWrap/>
            <w:vAlign w:val="bottom"/>
            <w:hideMark/>
          </w:tcPr>
          <w:p w14:paraId="3CC81545"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500</w:t>
            </w:r>
          </w:p>
        </w:tc>
        <w:tc>
          <w:tcPr>
            <w:tcW w:w="301" w:type="pct"/>
            <w:tcBorders>
              <w:top w:val="nil"/>
              <w:left w:val="nil"/>
              <w:bottom w:val="nil"/>
              <w:right w:val="nil"/>
            </w:tcBorders>
            <w:shd w:val="clear" w:color="000000" w:fill="D9E1F2"/>
            <w:vAlign w:val="center"/>
            <w:hideMark/>
          </w:tcPr>
          <w:p w14:paraId="03244BA7"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260</w:t>
            </w:r>
          </w:p>
        </w:tc>
        <w:tc>
          <w:tcPr>
            <w:tcW w:w="1610" w:type="pct"/>
            <w:tcBorders>
              <w:top w:val="nil"/>
              <w:left w:val="nil"/>
              <w:bottom w:val="nil"/>
              <w:right w:val="nil"/>
            </w:tcBorders>
            <w:shd w:val="clear" w:color="000000" w:fill="D9E1F2"/>
            <w:noWrap/>
            <w:vAlign w:val="bottom"/>
            <w:hideMark/>
          </w:tcPr>
          <w:p w14:paraId="2276E969"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0078521A" w14:textId="77777777" w:rsidTr="00C82015">
        <w:trPr>
          <w:trHeight w:val="300"/>
        </w:trPr>
        <w:tc>
          <w:tcPr>
            <w:tcW w:w="885" w:type="pct"/>
            <w:tcBorders>
              <w:top w:val="nil"/>
              <w:left w:val="nil"/>
              <w:bottom w:val="nil"/>
              <w:right w:val="nil"/>
            </w:tcBorders>
            <w:shd w:val="clear" w:color="auto" w:fill="auto"/>
            <w:noWrap/>
            <w:vAlign w:val="bottom"/>
            <w:hideMark/>
          </w:tcPr>
          <w:p w14:paraId="6106B5E3"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SternoCOIF1-AgPestR1a</w:t>
            </w:r>
          </w:p>
        </w:tc>
        <w:tc>
          <w:tcPr>
            <w:tcW w:w="913" w:type="pct"/>
            <w:tcBorders>
              <w:top w:val="nil"/>
              <w:left w:val="nil"/>
              <w:bottom w:val="nil"/>
              <w:right w:val="nil"/>
            </w:tcBorders>
            <w:shd w:val="clear" w:color="auto" w:fill="auto"/>
            <w:noWrap/>
            <w:vAlign w:val="bottom"/>
            <w:hideMark/>
          </w:tcPr>
          <w:p w14:paraId="1F53E9DA"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ATTGGWGGWTTYGGAAAYTG</w:t>
            </w:r>
          </w:p>
        </w:tc>
        <w:tc>
          <w:tcPr>
            <w:tcW w:w="273" w:type="pct"/>
            <w:tcBorders>
              <w:top w:val="nil"/>
              <w:left w:val="nil"/>
              <w:bottom w:val="nil"/>
              <w:right w:val="nil"/>
            </w:tcBorders>
            <w:shd w:val="clear" w:color="auto" w:fill="auto"/>
            <w:noWrap/>
            <w:vAlign w:val="bottom"/>
            <w:hideMark/>
          </w:tcPr>
          <w:p w14:paraId="713F1427"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179</w:t>
            </w:r>
          </w:p>
        </w:tc>
        <w:tc>
          <w:tcPr>
            <w:tcW w:w="746" w:type="pct"/>
            <w:tcBorders>
              <w:top w:val="nil"/>
              <w:left w:val="nil"/>
              <w:bottom w:val="nil"/>
              <w:right w:val="nil"/>
            </w:tcBorders>
            <w:shd w:val="clear" w:color="auto" w:fill="auto"/>
            <w:noWrap/>
            <w:vAlign w:val="bottom"/>
            <w:hideMark/>
          </w:tcPr>
          <w:p w14:paraId="33A55A50"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GTRATRAARTTDAYWGMHCC</w:t>
            </w:r>
          </w:p>
        </w:tc>
        <w:tc>
          <w:tcPr>
            <w:tcW w:w="273" w:type="pct"/>
            <w:tcBorders>
              <w:top w:val="nil"/>
              <w:left w:val="nil"/>
              <w:bottom w:val="nil"/>
              <w:right w:val="nil"/>
            </w:tcBorders>
            <w:shd w:val="clear" w:color="000000" w:fill="D9E1F2"/>
            <w:noWrap/>
            <w:vAlign w:val="bottom"/>
            <w:hideMark/>
          </w:tcPr>
          <w:p w14:paraId="69866B14"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434</w:t>
            </w:r>
          </w:p>
        </w:tc>
        <w:tc>
          <w:tcPr>
            <w:tcW w:w="301" w:type="pct"/>
            <w:tcBorders>
              <w:top w:val="nil"/>
              <w:left w:val="nil"/>
              <w:bottom w:val="nil"/>
              <w:right w:val="nil"/>
            </w:tcBorders>
            <w:shd w:val="clear" w:color="000000" w:fill="D9E1F2"/>
            <w:vAlign w:val="center"/>
            <w:hideMark/>
          </w:tcPr>
          <w:p w14:paraId="0A82AF6A"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236</w:t>
            </w:r>
          </w:p>
        </w:tc>
        <w:tc>
          <w:tcPr>
            <w:tcW w:w="1610" w:type="pct"/>
            <w:tcBorders>
              <w:top w:val="nil"/>
              <w:left w:val="nil"/>
              <w:bottom w:val="nil"/>
              <w:right w:val="nil"/>
            </w:tcBorders>
            <w:shd w:val="clear" w:color="000000" w:fill="D9E1F2"/>
            <w:noWrap/>
            <w:vAlign w:val="bottom"/>
            <w:hideMark/>
          </w:tcPr>
          <w:p w14:paraId="52902F6D"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256D194F" w14:textId="77777777" w:rsidTr="00C82015">
        <w:trPr>
          <w:trHeight w:val="300"/>
        </w:trPr>
        <w:tc>
          <w:tcPr>
            <w:tcW w:w="885" w:type="pct"/>
            <w:tcBorders>
              <w:top w:val="nil"/>
              <w:left w:val="nil"/>
              <w:bottom w:val="nil"/>
              <w:right w:val="nil"/>
            </w:tcBorders>
            <w:shd w:val="clear" w:color="auto" w:fill="auto"/>
            <w:noWrap/>
            <w:vAlign w:val="bottom"/>
            <w:hideMark/>
          </w:tcPr>
          <w:p w14:paraId="22F25955"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SternoCOIF1-AgPestR1b</w:t>
            </w:r>
          </w:p>
        </w:tc>
        <w:tc>
          <w:tcPr>
            <w:tcW w:w="913" w:type="pct"/>
            <w:tcBorders>
              <w:top w:val="nil"/>
              <w:left w:val="nil"/>
              <w:bottom w:val="nil"/>
              <w:right w:val="nil"/>
            </w:tcBorders>
            <w:shd w:val="clear" w:color="auto" w:fill="auto"/>
            <w:noWrap/>
            <w:vAlign w:val="bottom"/>
            <w:hideMark/>
          </w:tcPr>
          <w:p w14:paraId="000B8DAC"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ATTGGWGGWTTYGGAAAYTG</w:t>
            </w:r>
          </w:p>
        </w:tc>
        <w:tc>
          <w:tcPr>
            <w:tcW w:w="273" w:type="pct"/>
            <w:tcBorders>
              <w:top w:val="nil"/>
              <w:left w:val="nil"/>
              <w:bottom w:val="nil"/>
              <w:right w:val="nil"/>
            </w:tcBorders>
            <w:shd w:val="clear" w:color="auto" w:fill="auto"/>
            <w:noWrap/>
            <w:vAlign w:val="bottom"/>
            <w:hideMark/>
          </w:tcPr>
          <w:p w14:paraId="5646AC71"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179</w:t>
            </w:r>
          </w:p>
        </w:tc>
        <w:tc>
          <w:tcPr>
            <w:tcW w:w="746" w:type="pct"/>
            <w:tcBorders>
              <w:top w:val="nil"/>
              <w:left w:val="nil"/>
              <w:bottom w:val="nil"/>
              <w:right w:val="nil"/>
            </w:tcBorders>
            <w:shd w:val="clear" w:color="auto" w:fill="auto"/>
            <w:noWrap/>
            <w:vAlign w:val="bottom"/>
            <w:hideMark/>
          </w:tcPr>
          <w:p w14:paraId="2D3CD13A"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ARAATWGADGADAYWCCWGC</w:t>
            </w:r>
          </w:p>
        </w:tc>
        <w:tc>
          <w:tcPr>
            <w:tcW w:w="273" w:type="pct"/>
            <w:tcBorders>
              <w:top w:val="nil"/>
              <w:left w:val="nil"/>
              <w:bottom w:val="nil"/>
              <w:right w:val="nil"/>
            </w:tcBorders>
            <w:shd w:val="clear" w:color="auto" w:fill="auto"/>
            <w:noWrap/>
            <w:vAlign w:val="bottom"/>
            <w:hideMark/>
          </w:tcPr>
          <w:p w14:paraId="11337A89"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413</w:t>
            </w:r>
          </w:p>
        </w:tc>
        <w:tc>
          <w:tcPr>
            <w:tcW w:w="301" w:type="pct"/>
            <w:tcBorders>
              <w:top w:val="nil"/>
              <w:left w:val="nil"/>
              <w:bottom w:val="nil"/>
              <w:right w:val="nil"/>
            </w:tcBorders>
            <w:shd w:val="clear" w:color="000000" w:fill="D9E1F2"/>
            <w:vAlign w:val="center"/>
            <w:hideMark/>
          </w:tcPr>
          <w:p w14:paraId="16569240"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215</w:t>
            </w:r>
          </w:p>
        </w:tc>
        <w:tc>
          <w:tcPr>
            <w:tcW w:w="1610" w:type="pct"/>
            <w:tcBorders>
              <w:top w:val="nil"/>
              <w:left w:val="nil"/>
              <w:bottom w:val="nil"/>
              <w:right w:val="nil"/>
            </w:tcBorders>
            <w:shd w:val="clear" w:color="000000" w:fill="D9E1F2"/>
            <w:noWrap/>
            <w:vAlign w:val="bottom"/>
            <w:hideMark/>
          </w:tcPr>
          <w:p w14:paraId="123564EA"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3E121429" w14:textId="77777777" w:rsidTr="00C82015">
        <w:trPr>
          <w:trHeight w:val="300"/>
        </w:trPr>
        <w:tc>
          <w:tcPr>
            <w:tcW w:w="885" w:type="pct"/>
            <w:tcBorders>
              <w:top w:val="nil"/>
              <w:left w:val="nil"/>
              <w:bottom w:val="nil"/>
              <w:right w:val="nil"/>
            </w:tcBorders>
            <w:shd w:val="clear" w:color="auto" w:fill="auto"/>
            <w:noWrap/>
            <w:vAlign w:val="bottom"/>
            <w:hideMark/>
          </w:tcPr>
          <w:p w14:paraId="6570BD4B"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AgPestF1-SternoCOIR1</w:t>
            </w:r>
          </w:p>
        </w:tc>
        <w:tc>
          <w:tcPr>
            <w:tcW w:w="913" w:type="pct"/>
            <w:tcBorders>
              <w:top w:val="nil"/>
              <w:left w:val="nil"/>
              <w:bottom w:val="nil"/>
              <w:right w:val="nil"/>
            </w:tcBorders>
            <w:shd w:val="clear" w:color="auto" w:fill="auto"/>
            <w:noWrap/>
            <w:vAlign w:val="bottom"/>
            <w:hideMark/>
          </w:tcPr>
          <w:p w14:paraId="6EEB0840"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ATYATWATTGGDGGDTTYGG</w:t>
            </w:r>
          </w:p>
        </w:tc>
        <w:tc>
          <w:tcPr>
            <w:tcW w:w="273" w:type="pct"/>
            <w:tcBorders>
              <w:top w:val="nil"/>
              <w:left w:val="nil"/>
              <w:bottom w:val="nil"/>
              <w:right w:val="nil"/>
            </w:tcBorders>
            <w:shd w:val="clear" w:color="000000" w:fill="D9E1F2"/>
            <w:noWrap/>
            <w:vAlign w:val="bottom"/>
            <w:hideMark/>
          </w:tcPr>
          <w:p w14:paraId="49A870FE"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173</w:t>
            </w:r>
          </w:p>
        </w:tc>
        <w:tc>
          <w:tcPr>
            <w:tcW w:w="746" w:type="pct"/>
            <w:tcBorders>
              <w:top w:val="nil"/>
              <w:left w:val="nil"/>
              <w:bottom w:val="nil"/>
              <w:right w:val="nil"/>
            </w:tcBorders>
            <w:shd w:val="clear" w:color="auto" w:fill="auto"/>
            <w:noWrap/>
            <w:vAlign w:val="bottom"/>
            <w:hideMark/>
          </w:tcPr>
          <w:p w14:paraId="46AAB583"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ATRAARTTRATWGCTCCTA</w:t>
            </w:r>
          </w:p>
        </w:tc>
        <w:tc>
          <w:tcPr>
            <w:tcW w:w="273" w:type="pct"/>
            <w:tcBorders>
              <w:top w:val="nil"/>
              <w:left w:val="nil"/>
              <w:bottom w:val="nil"/>
              <w:right w:val="nil"/>
            </w:tcBorders>
            <w:shd w:val="clear" w:color="auto" w:fill="auto"/>
            <w:noWrap/>
            <w:vAlign w:val="bottom"/>
            <w:hideMark/>
          </w:tcPr>
          <w:p w14:paraId="1E024A98"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432</w:t>
            </w:r>
          </w:p>
        </w:tc>
        <w:tc>
          <w:tcPr>
            <w:tcW w:w="301" w:type="pct"/>
            <w:tcBorders>
              <w:top w:val="nil"/>
              <w:left w:val="nil"/>
              <w:bottom w:val="nil"/>
              <w:right w:val="nil"/>
            </w:tcBorders>
            <w:shd w:val="clear" w:color="000000" w:fill="D9E1F2"/>
            <w:vAlign w:val="center"/>
            <w:hideMark/>
          </w:tcPr>
          <w:p w14:paraId="116F9013"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240</w:t>
            </w:r>
          </w:p>
        </w:tc>
        <w:tc>
          <w:tcPr>
            <w:tcW w:w="1610" w:type="pct"/>
            <w:tcBorders>
              <w:top w:val="nil"/>
              <w:left w:val="nil"/>
              <w:bottom w:val="nil"/>
              <w:right w:val="nil"/>
            </w:tcBorders>
            <w:shd w:val="clear" w:color="000000" w:fill="D9E1F2"/>
            <w:noWrap/>
            <w:vAlign w:val="bottom"/>
            <w:hideMark/>
          </w:tcPr>
          <w:p w14:paraId="7FF6E73D"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61A5417C" w14:textId="77777777" w:rsidTr="00C82015">
        <w:trPr>
          <w:trHeight w:val="300"/>
        </w:trPr>
        <w:tc>
          <w:tcPr>
            <w:tcW w:w="885" w:type="pct"/>
            <w:tcBorders>
              <w:top w:val="nil"/>
              <w:left w:val="nil"/>
              <w:bottom w:val="nil"/>
              <w:right w:val="nil"/>
            </w:tcBorders>
            <w:shd w:val="clear" w:color="auto" w:fill="auto"/>
            <w:noWrap/>
            <w:vAlign w:val="bottom"/>
            <w:hideMark/>
          </w:tcPr>
          <w:p w14:paraId="569C2C41"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AgPestF2-SternoCOIR2</w:t>
            </w:r>
          </w:p>
        </w:tc>
        <w:tc>
          <w:tcPr>
            <w:tcW w:w="913" w:type="pct"/>
            <w:tcBorders>
              <w:top w:val="nil"/>
              <w:left w:val="nil"/>
              <w:bottom w:val="nil"/>
              <w:right w:val="nil"/>
            </w:tcBorders>
            <w:shd w:val="clear" w:color="auto" w:fill="auto"/>
            <w:noWrap/>
            <w:vAlign w:val="bottom"/>
            <w:hideMark/>
          </w:tcPr>
          <w:p w14:paraId="6F89A748"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HGAYATRGCHTTYCCHCG</w:t>
            </w:r>
          </w:p>
        </w:tc>
        <w:tc>
          <w:tcPr>
            <w:tcW w:w="273" w:type="pct"/>
            <w:tcBorders>
              <w:top w:val="nil"/>
              <w:left w:val="nil"/>
              <w:bottom w:val="nil"/>
              <w:right w:val="nil"/>
            </w:tcBorders>
            <w:shd w:val="clear" w:color="000000" w:fill="D9E1F2"/>
            <w:noWrap/>
            <w:vAlign w:val="bottom"/>
            <w:hideMark/>
          </w:tcPr>
          <w:p w14:paraId="0EE36C72"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226</w:t>
            </w:r>
          </w:p>
        </w:tc>
        <w:tc>
          <w:tcPr>
            <w:tcW w:w="746" w:type="pct"/>
            <w:tcBorders>
              <w:top w:val="nil"/>
              <w:left w:val="nil"/>
              <w:bottom w:val="nil"/>
              <w:right w:val="nil"/>
            </w:tcBorders>
            <w:shd w:val="clear" w:color="auto" w:fill="auto"/>
            <w:noWrap/>
            <w:vAlign w:val="bottom"/>
            <w:hideMark/>
          </w:tcPr>
          <w:p w14:paraId="56A91E44"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ATRAARTTRATWGCTCCTA</w:t>
            </w:r>
          </w:p>
        </w:tc>
        <w:tc>
          <w:tcPr>
            <w:tcW w:w="273" w:type="pct"/>
            <w:tcBorders>
              <w:top w:val="nil"/>
              <w:left w:val="nil"/>
              <w:bottom w:val="nil"/>
              <w:right w:val="nil"/>
            </w:tcBorders>
            <w:shd w:val="clear" w:color="auto" w:fill="auto"/>
            <w:noWrap/>
            <w:vAlign w:val="bottom"/>
            <w:hideMark/>
          </w:tcPr>
          <w:p w14:paraId="30FB05E6"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432</w:t>
            </w:r>
          </w:p>
        </w:tc>
        <w:tc>
          <w:tcPr>
            <w:tcW w:w="301" w:type="pct"/>
            <w:tcBorders>
              <w:top w:val="nil"/>
              <w:left w:val="nil"/>
              <w:bottom w:val="nil"/>
              <w:right w:val="nil"/>
            </w:tcBorders>
            <w:shd w:val="clear" w:color="000000" w:fill="D9E1F2"/>
            <w:vAlign w:val="center"/>
            <w:hideMark/>
          </w:tcPr>
          <w:p w14:paraId="4986D01A"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189</w:t>
            </w:r>
          </w:p>
        </w:tc>
        <w:tc>
          <w:tcPr>
            <w:tcW w:w="1610" w:type="pct"/>
            <w:tcBorders>
              <w:top w:val="nil"/>
              <w:left w:val="nil"/>
              <w:bottom w:val="nil"/>
              <w:right w:val="nil"/>
            </w:tcBorders>
            <w:shd w:val="clear" w:color="000000" w:fill="D9E1F2"/>
            <w:noWrap/>
            <w:vAlign w:val="bottom"/>
            <w:hideMark/>
          </w:tcPr>
          <w:p w14:paraId="53EA6158"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50E710F9" w14:textId="77777777" w:rsidTr="00C82015">
        <w:trPr>
          <w:trHeight w:val="300"/>
        </w:trPr>
        <w:tc>
          <w:tcPr>
            <w:tcW w:w="885" w:type="pct"/>
            <w:tcBorders>
              <w:top w:val="nil"/>
              <w:left w:val="nil"/>
              <w:bottom w:val="nil"/>
              <w:right w:val="nil"/>
            </w:tcBorders>
            <w:shd w:val="clear" w:color="auto" w:fill="auto"/>
            <w:noWrap/>
            <w:vAlign w:val="bottom"/>
            <w:hideMark/>
          </w:tcPr>
          <w:p w14:paraId="1BCE2E0E"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BF1-AgPestR2</w:t>
            </w:r>
          </w:p>
        </w:tc>
        <w:tc>
          <w:tcPr>
            <w:tcW w:w="913" w:type="pct"/>
            <w:tcBorders>
              <w:top w:val="single" w:sz="4" w:space="0" w:color="7F7F7F"/>
              <w:left w:val="nil"/>
              <w:bottom w:val="single" w:sz="4" w:space="0" w:color="7F7F7F"/>
              <w:right w:val="single" w:sz="4" w:space="0" w:color="7F7F7F"/>
            </w:tcBorders>
            <w:shd w:val="clear" w:color="000000" w:fill="D9E1F2"/>
            <w:vAlign w:val="center"/>
            <w:hideMark/>
          </w:tcPr>
          <w:p w14:paraId="042C1740"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ACWGGWTGRACWGTNTAYCC</w:t>
            </w:r>
          </w:p>
        </w:tc>
        <w:tc>
          <w:tcPr>
            <w:tcW w:w="273" w:type="pct"/>
            <w:tcBorders>
              <w:top w:val="single" w:sz="4" w:space="0" w:color="7F7F7F"/>
              <w:left w:val="nil"/>
              <w:bottom w:val="single" w:sz="4" w:space="0" w:color="7F7F7F"/>
              <w:right w:val="single" w:sz="4" w:space="0" w:color="7F7F7F"/>
            </w:tcBorders>
            <w:shd w:val="clear" w:color="000000" w:fill="D9E1F2"/>
            <w:vAlign w:val="center"/>
            <w:hideMark/>
          </w:tcPr>
          <w:p w14:paraId="2A84AB7F"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326</w:t>
            </w:r>
          </w:p>
        </w:tc>
        <w:tc>
          <w:tcPr>
            <w:tcW w:w="746" w:type="pct"/>
            <w:tcBorders>
              <w:top w:val="nil"/>
              <w:left w:val="nil"/>
              <w:bottom w:val="nil"/>
              <w:right w:val="nil"/>
            </w:tcBorders>
            <w:shd w:val="clear" w:color="auto" w:fill="auto"/>
            <w:noWrap/>
            <w:vAlign w:val="bottom"/>
            <w:hideMark/>
          </w:tcPr>
          <w:p w14:paraId="1A7FE7D9"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RACWGMTCAVAYAAATARDGG</w:t>
            </w:r>
          </w:p>
        </w:tc>
        <w:tc>
          <w:tcPr>
            <w:tcW w:w="273" w:type="pct"/>
            <w:tcBorders>
              <w:top w:val="nil"/>
              <w:left w:val="nil"/>
              <w:bottom w:val="nil"/>
              <w:right w:val="nil"/>
            </w:tcBorders>
            <w:shd w:val="clear" w:color="000000" w:fill="D9E1F2"/>
            <w:noWrap/>
            <w:vAlign w:val="bottom"/>
            <w:hideMark/>
          </w:tcPr>
          <w:p w14:paraId="37EE38F6"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500</w:t>
            </w:r>
          </w:p>
        </w:tc>
        <w:tc>
          <w:tcPr>
            <w:tcW w:w="301" w:type="pct"/>
            <w:tcBorders>
              <w:top w:val="nil"/>
              <w:left w:val="nil"/>
              <w:bottom w:val="nil"/>
              <w:right w:val="nil"/>
            </w:tcBorders>
            <w:shd w:val="clear" w:color="000000" w:fill="D9E1F2"/>
            <w:vAlign w:val="center"/>
            <w:hideMark/>
          </w:tcPr>
          <w:p w14:paraId="00AD2EBF"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155</w:t>
            </w:r>
          </w:p>
        </w:tc>
        <w:tc>
          <w:tcPr>
            <w:tcW w:w="1610" w:type="pct"/>
            <w:tcBorders>
              <w:top w:val="nil"/>
              <w:left w:val="nil"/>
              <w:bottom w:val="nil"/>
              <w:right w:val="nil"/>
            </w:tcBorders>
            <w:shd w:val="clear" w:color="000000" w:fill="D9E1F2"/>
            <w:noWrap/>
            <w:vAlign w:val="bottom"/>
            <w:hideMark/>
          </w:tcPr>
          <w:p w14:paraId="0EE70CE9" w14:textId="77777777" w:rsidR="00C82015" w:rsidRPr="00E33E6A" w:rsidRDefault="00C82015" w:rsidP="00C82015">
            <w:pPr>
              <w:spacing w:after="0" w:line="240" w:lineRule="auto"/>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This Study</w:t>
            </w:r>
          </w:p>
        </w:tc>
      </w:tr>
      <w:tr w:rsidR="00C82015" w:rsidRPr="00E33E6A" w14:paraId="7119C00F" w14:textId="77777777" w:rsidTr="00C82015">
        <w:trPr>
          <w:trHeight w:val="300"/>
        </w:trPr>
        <w:tc>
          <w:tcPr>
            <w:tcW w:w="885" w:type="pct"/>
            <w:tcBorders>
              <w:top w:val="nil"/>
              <w:left w:val="nil"/>
              <w:bottom w:val="nil"/>
              <w:right w:val="nil"/>
            </w:tcBorders>
            <w:shd w:val="clear" w:color="auto" w:fill="auto"/>
            <w:noWrap/>
            <w:vAlign w:val="bottom"/>
            <w:hideMark/>
          </w:tcPr>
          <w:p w14:paraId="4B830CFE"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HexCOIF4- AgPestR2</w:t>
            </w:r>
          </w:p>
        </w:tc>
        <w:tc>
          <w:tcPr>
            <w:tcW w:w="913" w:type="pct"/>
            <w:tcBorders>
              <w:top w:val="nil"/>
              <w:left w:val="nil"/>
              <w:bottom w:val="nil"/>
              <w:right w:val="nil"/>
            </w:tcBorders>
            <w:shd w:val="clear" w:color="auto" w:fill="auto"/>
            <w:noWrap/>
            <w:vAlign w:val="bottom"/>
            <w:hideMark/>
          </w:tcPr>
          <w:p w14:paraId="06CAD235" w14:textId="77777777" w:rsidR="00C82015" w:rsidRPr="00E33E6A" w:rsidRDefault="00C82015" w:rsidP="00C82015">
            <w:pPr>
              <w:spacing w:after="0" w:line="240" w:lineRule="auto"/>
              <w:rPr>
                <w:rFonts w:ascii="Lora" w:eastAsia="Times New Roman" w:hAnsi="Lora" w:cs="Arial"/>
                <w:color w:val="000000"/>
                <w:sz w:val="22"/>
                <w:lang w:eastAsia="en-AU"/>
              </w:rPr>
            </w:pPr>
            <w:r w:rsidRPr="00E33E6A">
              <w:rPr>
                <w:rFonts w:ascii="Lora" w:eastAsia="Times New Roman" w:hAnsi="Lora" w:cs="Arial"/>
                <w:color w:val="000000"/>
                <w:sz w:val="22"/>
                <w:lang w:eastAsia="en-AU"/>
              </w:rPr>
              <w:t>HCCHGAYATRGCHTTYCC</w:t>
            </w:r>
          </w:p>
        </w:tc>
        <w:tc>
          <w:tcPr>
            <w:tcW w:w="273" w:type="pct"/>
            <w:tcBorders>
              <w:top w:val="nil"/>
              <w:left w:val="nil"/>
              <w:bottom w:val="nil"/>
              <w:right w:val="nil"/>
            </w:tcBorders>
            <w:shd w:val="clear" w:color="auto" w:fill="auto"/>
            <w:noWrap/>
            <w:vAlign w:val="bottom"/>
            <w:hideMark/>
          </w:tcPr>
          <w:p w14:paraId="2DEEDEB2" w14:textId="77777777" w:rsidR="00C82015" w:rsidRPr="00E33E6A" w:rsidRDefault="00C82015" w:rsidP="00C82015">
            <w:pPr>
              <w:spacing w:after="0" w:line="240" w:lineRule="auto"/>
              <w:jc w:val="right"/>
              <w:rPr>
                <w:rFonts w:ascii="Lora" w:eastAsia="Times New Roman" w:hAnsi="Lora" w:cs="Calibri"/>
                <w:color w:val="000000"/>
                <w:sz w:val="22"/>
                <w:lang w:eastAsia="en-AU"/>
              </w:rPr>
            </w:pPr>
            <w:r w:rsidRPr="00E33E6A">
              <w:rPr>
                <w:rFonts w:ascii="Lora" w:eastAsia="Times New Roman" w:hAnsi="Lora" w:cs="Calibri"/>
                <w:color w:val="000000"/>
                <w:sz w:val="22"/>
                <w:lang w:eastAsia="en-AU"/>
              </w:rPr>
              <w:t>223</w:t>
            </w:r>
          </w:p>
        </w:tc>
        <w:tc>
          <w:tcPr>
            <w:tcW w:w="746" w:type="pct"/>
            <w:tcBorders>
              <w:top w:val="nil"/>
              <w:left w:val="nil"/>
              <w:bottom w:val="nil"/>
              <w:right w:val="nil"/>
            </w:tcBorders>
            <w:shd w:val="clear" w:color="auto" w:fill="auto"/>
            <w:noWrap/>
            <w:vAlign w:val="bottom"/>
            <w:hideMark/>
          </w:tcPr>
          <w:p w14:paraId="2CAFF1DD"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RACWGMTCAVAYAAATARDGG</w:t>
            </w:r>
          </w:p>
        </w:tc>
        <w:tc>
          <w:tcPr>
            <w:tcW w:w="273" w:type="pct"/>
            <w:tcBorders>
              <w:top w:val="nil"/>
              <w:left w:val="nil"/>
              <w:bottom w:val="nil"/>
              <w:right w:val="nil"/>
            </w:tcBorders>
            <w:shd w:val="clear" w:color="000000" w:fill="D9E1F2"/>
            <w:noWrap/>
            <w:vAlign w:val="bottom"/>
            <w:hideMark/>
          </w:tcPr>
          <w:p w14:paraId="74DE6966"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500</w:t>
            </w:r>
          </w:p>
        </w:tc>
        <w:tc>
          <w:tcPr>
            <w:tcW w:w="301" w:type="pct"/>
            <w:tcBorders>
              <w:top w:val="nil"/>
              <w:left w:val="nil"/>
              <w:bottom w:val="nil"/>
              <w:right w:val="nil"/>
            </w:tcBorders>
            <w:shd w:val="clear" w:color="000000" w:fill="D9E1F2"/>
            <w:vAlign w:val="center"/>
            <w:hideMark/>
          </w:tcPr>
          <w:p w14:paraId="6B9AEA33"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260</w:t>
            </w:r>
          </w:p>
        </w:tc>
        <w:tc>
          <w:tcPr>
            <w:tcW w:w="1610" w:type="pct"/>
            <w:tcBorders>
              <w:top w:val="nil"/>
              <w:left w:val="nil"/>
              <w:bottom w:val="nil"/>
              <w:right w:val="nil"/>
            </w:tcBorders>
            <w:shd w:val="clear" w:color="auto" w:fill="auto"/>
            <w:noWrap/>
            <w:vAlign w:val="bottom"/>
          </w:tcPr>
          <w:p w14:paraId="31179772" w14:textId="2F5BCDBC"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fldChar w:fldCharType="begin" w:fldLock="1"/>
            </w:r>
            <w:r w:rsidR="00333D38" w:rsidRPr="00E33E6A">
              <w:rPr>
                <w:rFonts w:ascii="Lora" w:eastAsia="Times New Roman" w:hAnsi="Lora" w:cs="Calibri"/>
                <w:color w:val="000000"/>
                <w:sz w:val="22"/>
                <w:lang w:eastAsia="en-AU"/>
              </w:rPr>
              <w:instrText>ADDIN CSL_CITATION {"citationItems":[{"id":"ITEM-1","itemData":{"DOI":"10.1111/1755-0998.12942","author":[{"dropping-particle":"","family":"Marquina","given":"Daniel","non-dropping-particle":"","parse-names":false,"suffix":""}],"id":"ITEM-1","issue":"August 2018","issued":{"date-parts":[["2019"]]},"page":"90-104","title":"New mitochondrial primers for metabarcoding of insects , designed and evaluated using in silico methods","type":"article-journal"},"uris":["http://www.mendeley.com/documents/?uuid=f3dc7057-f0ed-472b-af6d-929bddd69700"]}],"mendeley":{"formattedCitation":"(Marquina, 2019)","plainTextFormattedCitation":"(Marquina, 2019)","previouslyFormattedCitation":"(Marquina, 2019)"},"properties":{"noteIndex":0},"schema":"https://github.com/citation-style-language/schema/raw/master/csl-citation.json"}</w:instrText>
            </w:r>
            <w:r w:rsidRPr="00E33E6A">
              <w:rPr>
                <w:rFonts w:ascii="Lora" w:eastAsia="Times New Roman" w:hAnsi="Lora" w:cs="Calibri"/>
                <w:color w:val="000000"/>
                <w:sz w:val="22"/>
                <w:lang w:eastAsia="en-AU"/>
              </w:rPr>
              <w:fldChar w:fldCharType="separate"/>
            </w:r>
            <w:r w:rsidRPr="00E33E6A">
              <w:rPr>
                <w:rFonts w:ascii="Lora" w:eastAsia="Times New Roman" w:hAnsi="Lora" w:cs="Calibri"/>
                <w:noProof/>
                <w:color w:val="000000"/>
                <w:sz w:val="22"/>
                <w:lang w:eastAsia="en-AU"/>
              </w:rPr>
              <w:t>(Marquina, 2019)</w:t>
            </w:r>
            <w:r w:rsidRPr="00E33E6A">
              <w:rPr>
                <w:rFonts w:ascii="Lora" w:eastAsia="Times New Roman" w:hAnsi="Lora" w:cs="Calibri"/>
                <w:color w:val="000000"/>
                <w:sz w:val="22"/>
                <w:lang w:eastAsia="en-AU"/>
              </w:rPr>
              <w:fldChar w:fldCharType="end"/>
            </w:r>
          </w:p>
        </w:tc>
      </w:tr>
      <w:tr w:rsidR="00C82015" w:rsidRPr="00E33E6A" w14:paraId="01AF0C95" w14:textId="77777777" w:rsidTr="00C82015">
        <w:trPr>
          <w:trHeight w:val="300"/>
        </w:trPr>
        <w:tc>
          <w:tcPr>
            <w:tcW w:w="885" w:type="pct"/>
            <w:tcBorders>
              <w:top w:val="nil"/>
              <w:left w:val="nil"/>
              <w:bottom w:val="nil"/>
              <w:right w:val="nil"/>
            </w:tcBorders>
            <w:shd w:val="clear" w:color="auto" w:fill="auto"/>
            <w:noWrap/>
            <w:vAlign w:val="bottom"/>
            <w:hideMark/>
          </w:tcPr>
          <w:p w14:paraId="03EA02E1"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HexCOIF4- AgPestR1a</w:t>
            </w:r>
          </w:p>
        </w:tc>
        <w:tc>
          <w:tcPr>
            <w:tcW w:w="913" w:type="pct"/>
            <w:tcBorders>
              <w:top w:val="nil"/>
              <w:left w:val="nil"/>
              <w:bottom w:val="nil"/>
              <w:right w:val="nil"/>
            </w:tcBorders>
            <w:shd w:val="clear" w:color="auto" w:fill="auto"/>
            <w:noWrap/>
            <w:vAlign w:val="bottom"/>
            <w:hideMark/>
          </w:tcPr>
          <w:p w14:paraId="30BF1B09" w14:textId="77777777" w:rsidR="00C82015" w:rsidRPr="00E33E6A" w:rsidRDefault="00C82015" w:rsidP="00C82015">
            <w:pPr>
              <w:spacing w:after="0" w:line="240" w:lineRule="auto"/>
              <w:rPr>
                <w:rFonts w:ascii="Lora" w:eastAsia="Times New Roman" w:hAnsi="Lora" w:cs="Arial"/>
                <w:color w:val="000000"/>
                <w:sz w:val="22"/>
                <w:lang w:eastAsia="en-AU"/>
              </w:rPr>
            </w:pPr>
            <w:r w:rsidRPr="00E33E6A">
              <w:rPr>
                <w:rFonts w:ascii="Lora" w:eastAsia="Times New Roman" w:hAnsi="Lora" w:cs="Arial"/>
                <w:color w:val="000000"/>
                <w:sz w:val="22"/>
                <w:lang w:eastAsia="en-AU"/>
              </w:rPr>
              <w:t>HCCHGAYATRGCHTTYCC</w:t>
            </w:r>
          </w:p>
        </w:tc>
        <w:tc>
          <w:tcPr>
            <w:tcW w:w="273" w:type="pct"/>
            <w:tcBorders>
              <w:top w:val="nil"/>
              <w:left w:val="nil"/>
              <w:bottom w:val="nil"/>
              <w:right w:val="nil"/>
            </w:tcBorders>
            <w:shd w:val="clear" w:color="auto" w:fill="auto"/>
            <w:noWrap/>
            <w:vAlign w:val="bottom"/>
            <w:hideMark/>
          </w:tcPr>
          <w:p w14:paraId="2E7CFE5D" w14:textId="77777777" w:rsidR="00C82015" w:rsidRPr="00E33E6A" w:rsidRDefault="00C82015" w:rsidP="00C82015">
            <w:pPr>
              <w:spacing w:after="0" w:line="240" w:lineRule="auto"/>
              <w:jc w:val="right"/>
              <w:rPr>
                <w:rFonts w:ascii="Lora" w:eastAsia="Times New Roman" w:hAnsi="Lora" w:cs="Calibri"/>
                <w:color w:val="000000"/>
                <w:sz w:val="22"/>
                <w:lang w:eastAsia="en-AU"/>
              </w:rPr>
            </w:pPr>
            <w:r w:rsidRPr="00E33E6A">
              <w:rPr>
                <w:rFonts w:ascii="Lora" w:eastAsia="Times New Roman" w:hAnsi="Lora" w:cs="Calibri"/>
                <w:color w:val="000000"/>
                <w:sz w:val="22"/>
                <w:lang w:eastAsia="en-AU"/>
              </w:rPr>
              <w:t>223</w:t>
            </w:r>
          </w:p>
        </w:tc>
        <w:tc>
          <w:tcPr>
            <w:tcW w:w="746" w:type="pct"/>
            <w:tcBorders>
              <w:top w:val="nil"/>
              <w:left w:val="nil"/>
              <w:bottom w:val="nil"/>
              <w:right w:val="nil"/>
            </w:tcBorders>
            <w:shd w:val="clear" w:color="auto" w:fill="auto"/>
            <w:noWrap/>
            <w:vAlign w:val="bottom"/>
            <w:hideMark/>
          </w:tcPr>
          <w:p w14:paraId="50707C02"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GTRATRAARTTDAYWGMHCC</w:t>
            </w:r>
          </w:p>
        </w:tc>
        <w:tc>
          <w:tcPr>
            <w:tcW w:w="273" w:type="pct"/>
            <w:tcBorders>
              <w:top w:val="nil"/>
              <w:left w:val="nil"/>
              <w:bottom w:val="nil"/>
              <w:right w:val="nil"/>
            </w:tcBorders>
            <w:shd w:val="clear" w:color="000000" w:fill="D9E1F2"/>
            <w:noWrap/>
            <w:vAlign w:val="bottom"/>
            <w:hideMark/>
          </w:tcPr>
          <w:p w14:paraId="06523B1C"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434</w:t>
            </w:r>
          </w:p>
        </w:tc>
        <w:tc>
          <w:tcPr>
            <w:tcW w:w="301" w:type="pct"/>
            <w:tcBorders>
              <w:top w:val="nil"/>
              <w:left w:val="nil"/>
              <w:bottom w:val="nil"/>
              <w:right w:val="nil"/>
            </w:tcBorders>
            <w:shd w:val="clear" w:color="000000" w:fill="D9E1F2"/>
            <w:vAlign w:val="center"/>
            <w:hideMark/>
          </w:tcPr>
          <w:p w14:paraId="1EC8378D"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194</w:t>
            </w:r>
          </w:p>
        </w:tc>
        <w:tc>
          <w:tcPr>
            <w:tcW w:w="1610" w:type="pct"/>
            <w:tcBorders>
              <w:top w:val="nil"/>
              <w:left w:val="nil"/>
              <w:bottom w:val="nil"/>
              <w:right w:val="nil"/>
            </w:tcBorders>
            <w:shd w:val="clear" w:color="auto" w:fill="auto"/>
            <w:noWrap/>
            <w:vAlign w:val="bottom"/>
            <w:hideMark/>
          </w:tcPr>
          <w:p w14:paraId="0207D625" w14:textId="4D4770CF"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fldChar w:fldCharType="begin" w:fldLock="1"/>
            </w:r>
            <w:r w:rsidR="00333D38" w:rsidRPr="00E33E6A">
              <w:rPr>
                <w:rFonts w:ascii="Lora" w:eastAsia="Times New Roman" w:hAnsi="Lora" w:cs="Calibri"/>
                <w:color w:val="000000"/>
                <w:sz w:val="22"/>
                <w:lang w:eastAsia="en-AU"/>
              </w:rPr>
              <w:instrText>ADDIN CSL_CITATION {"citationItems":[{"id":"ITEM-1","itemData":{"DOI":"10.1111/1755-0998.12942","author":[{"dropping-particle":"","family":"Marquina","given":"Daniel","non-dropping-particle":"","parse-names":false,"suffix":""}],"id":"ITEM-1","issue":"August 2018","issued":{"date-parts":[["2019"]]},"page":"90-104","title":"New mitochondrial primers for metabarcoding of insects , designed and evaluated using in silico methods","type":"article-journal"},"uris":["http://www.mendeley.com/documents/?uuid=f3dc7057-f0ed-472b-af6d-929bddd69700"]}],"mendeley":{"formattedCitation":"(Marquina, 2019)","plainTextFormattedCitation":"(Marquina, 2019)","previouslyFormattedCitation":"(Marquina, 2019)"},"properties":{"noteIndex":0},"schema":"https://github.com/citation-style-language/schema/raw/master/csl-citation.json"}</w:instrText>
            </w:r>
            <w:r w:rsidRPr="00E33E6A">
              <w:rPr>
                <w:rFonts w:ascii="Lora" w:eastAsia="Times New Roman" w:hAnsi="Lora" w:cs="Calibri"/>
                <w:color w:val="000000"/>
                <w:sz w:val="22"/>
                <w:lang w:eastAsia="en-AU"/>
              </w:rPr>
              <w:fldChar w:fldCharType="separate"/>
            </w:r>
            <w:r w:rsidRPr="00E33E6A">
              <w:rPr>
                <w:rFonts w:ascii="Lora" w:eastAsia="Times New Roman" w:hAnsi="Lora" w:cs="Calibri"/>
                <w:noProof/>
                <w:color w:val="000000"/>
                <w:sz w:val="22"/>
                <w:lang w:eastAsia="en-AU"/>
              </w:rPr>
              <w:t>(Marquina, 2019)</w:t>
            </w:r>
            <w:r w:rsidRPr="00E33E6A">
              <w:rPr>
                <w:rFonts w:ascii="Lora" w:eastAsia="Times New Roman" w:hAnsi="Lora" w:cs="Calibri"/>
                <w:color w:val="000000"/>
                <w:sz w:val="22"/>
                <w:lang w:eastAsia="en-AU"/>
              </w:rPr>
              <w:fldChar w:fldCharType="end"/>
            </w:r>
          </w:p>
        </w:tc>
      </w:tr>
      <w:tr w:rsidR="00C82015" w:rsidRPr="00E33E6A" w14:paraId="29D86622" w14:textId="77777777" w:rsidTr="00C82015">
        <w:trPr>
          <w:trHeight w:val="300"/>
        </w:trPr>
        <w:tc>
          <w:tcPr>
            <w:tcW w:w="885" w:type="pct"/>
            <w:tcBorders>
              <w:top w:val="nil"/>
              <w:left w:val="nil"/>
              <w:bottom w:val="nil"/>
              <w:right w:val="nil"/>
            </w:tcBorders>
            <w:shd w:val="clear" w:color="auto" w:fill="auto"/>
            <w:noWrap/>
            <w:vAlign w:val="bottom"/>
            <w:hideMark/>
          </w:tcPr>
          <w:p w14:paraId="33825A04"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BF1-HexCOIR4</w:t>
            </w:r>
          </w:p>
        </w:tc>
        <w:tc>
          <w:tcPr>
            <w:tcW w:w="913" w:type="pct"/>
            <w:tcBorders>
              <w:top w:val="nil"/>
              <w:left w:val="nil"/>
              <w:bottom w:val="nil"/>
              <w:right w:val="nil"/>
            </w:tcBorders>
            <w:shd w:val="clear" w:color="auto" w:fill="auto"/>
            <w:noWrap/>
            <w:vAlign w:val="bottom"/>
            <w:hideMark/>
          </w:tcPr>
          <w:p w14:paraId="42A088DC"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ACWGGWTGRACWGTNTAYCC</w:t>
            </w:r>
          </w:p>
        </w:tc>
        <w:tc>
          <w:tcPr>
            <w:tcW w:w="273" w:type="pct"/>
            <w:tcBorders>
              <w:top w:val="nil"/>
              <w:left w:val="nil"/>
              <w:bottom w:val="nil"/>
              <w:right w:val="nil"/>
            </w:tcBorders>
            <w:shd w:val="clear" w:color="auto" w:fill="auto"/>
            <w:noWrap/>
            <w:vAlign w:val="bottom"/>
            <w:hideMark/>
          </w:tcPr>
          <w:p w14:paraId="23AF3784" w14:textId="77777777" w:rsidR="00C82015" w:rsidRPr="00E33E6A" w:rsidRDefault="00C82015" w:rsidP="00C82015">
            <w:pPr>
              <w:spacing w:after="0" w:line="240" w:lineRule="auto"/>
              <w:jc w:val="right"/>
              <w:rPr>
                <w:rFonts w:ascii="Lora" w:eastAsia="Times New Roman" w:hAnsi="Lora" w:cs="Calibri"/>
                <w:color w:val="000000"/>
                <w:sz w:val="22"/>
                <w:lang w:eastAsia="en-AU"/>
              </w:rPr>
            </w:pPr>
            <w:r w:rsidRPr="00E33E6A">
              <w:rPr>
                <w:rFonts w:ascii="Lora" w:eastAsia="Times New Roman" w:hAnsi="Lora" w:cs="Calibri"/>
                <w:color w:val="000000"/>
                <w:sz w:val="22"/>
                <w:lang w:eastAsia="en-AU"/>
              </w:rPr>
              <w:t>326</w:t>
            </w:r>
          </w:p>
        </w:tc>
        <w:tc>
          <w:tcPr>
            <w:tcW w:w="746" w:type="pct"/>
            <w:tcBorders>
              <w:top w:val="nil"/>
              <w:left w:val="nil"/>
              <w:bottom w:val="nil"/>
              <w:right w:val="nil"/>
            </w:tcBorders>
            <w:shd w:val="clear" w:color="auto" w:fill="auto"/>
            <w:noWrap/>
            <w:vAlign w:val="bottom"/>
            <w:hideMark/>
          </w:tcPr>
          <w:p w14:paraId="4A814E53"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TATDGTRATDGCHCCNGC</w:t>
            </w:r>
          </w:p>
        </w:tc>
        <w:tc>
          <w:tcPr>
            <w:tcW w:w="273" w:type="pct"/>
            <w:tcBorders>
              <w:top w:val="nil"/>
              <w:left w:val="nil"/>
              <w:bottom w:val="nil"/>
              <w:right w:val="nil"/>
            </w:tcBorders>
            <w:shd w:val="clear" w:color="auto" w:fill="auto"/>
            <w:noWrap/>
            <w:vAlign w:val="bottom"/>
            <w:hideMark/>
          </w:tcPr>
          <w:p w14:paraId="5DA6AED3" w14:textId="77777777" w:rsidR="00C82015" w:rsidRPr="00E33E6A" w:rsidRDefault="00C82015" w:rsidP="00C82015">
            <w:pPr>
              <w:spacing w:after="0" w:line="240" w:lineRule="auto"/>
              <w:jc w:val="right"/>
              <w:rPr>
                <w:rFonts w:ascii="Lora" w:eastAsia="Times New Roman" w:hAnsi="Lora" w:cs="Calibri"/>
                <w:color w:val="000000"/>
                <w:sz w:val="22"/>
                <w:lang w:eastAsia="en-AU"/>
              </w:rPr>
            </w:pPr>
            <w:r w:rsidRPr="00E33E6A">
              <w:rPr>
                <w:rFonts w:ascii="Lora" w:eastAsia="Times New Roman" w:hAnsi="Lora" w:cs="Calibri"/>
                <w:color w:val="000000"/>
                <w:sz w:val="22"/>
                <w:lang w:eastAsia="en-AU"/>
              </w:rPr>
              <w:t>563</w:t>
            </w:r>
          </w:p>
        </w:tc>
        <w:tc>
          <w:tcPr>
            <w:tcW w:w="301" w:type="pct"/>
            <w:tcBorders>
              <w:top w:val="nil"/>
              <w:left w:val="nil"/>
              <w:bottom w:val="nil"/>
              <w:right w:val="nil"/>
            </w:tcBorders>
            <w:shd w:val="clear" w:color="000000" w:fill="D9E1F2"/>
            <w:vAlign w:val="center"/>
            <w:hideMark/>
          </w:tcPr>
          <w:p w14:paraId="2ACCD3B6"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218</w:t>
            </w:r>
          </w:p>
        </w:tc>
        <w:tc>
          <w:tcPr>
            <w:tcW w:w="1610" w:type="pct"/>
            <w:tcBorders>
              <w:top w:val="nil"/>
              <w:left w:val="nil"/>
              <w:bottom w:val="nil"/>
              <w:right w:val="nil"/>
            </w:tcBorders>
            <w:shd w:val="clear" w:color="auto" w:fill="auto"/>
            <w:noWrap/>
            <w:vAlign w:val="bottom"/>
            <w:hideMark/>
          </w:tcPr>
          <w:p w14:paraId="0EE2B221" w14:textId="037A85D5"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fldChar w:fldCharType="begin" w:fldLock="1"/>
            </w:r>
            <w:r w:rsidR="00333D38" w:rsidRPr="00E33E6A">
              <w:rPr>
                <w:rFonts w:ascii="Lora" w:eastAsia="Times New Roman" w:hAnsi="Lora" w:cs="Calibri"/>
                <w:color w:val="000000"/>
                <w:sz w:val="22"/>
                <w:lang w:eastAsia="en-AU"/>
              </w:rPr>
              <w:instrText>ADDIN CSL_CITATION {"citationItems":[{"id":"ITEM-1","itemData":{"DOI":"10.1111/1755-0998.12942","author":[{"dropping-particle":"","family":"Marquina","given":"Daniel","non-dropping-particle":"","parse-names":false,"suffix":""}],"id":"ITEM-1","issue":"August 2018","issued":{"date-parts":[["2019"]]},"page":"90-104","title":"New mitochondrial primers for metabarcoding of insects , designed and evaluated using in silico methods","type":"article-journal"},"uris":["http://www.mendeley.com/documents/?uuid=f3dc7057-f0ed-472b-af6d-929bddd69700"]}],"mendeley":{"formattedCitation":"(Marquina, 2019)","plainTextFormattedCitation":"(Marquina, 2019)","previouslyFormattedCitation":"(Marquina, 2019)"},"properties":{"noteIndex":0},"schema":"https://github.com/citation-style-language/schema/raw/master/csl-citation.json"}</w:instrText>
            </w:r>
            <w:r w:rsidRPr="00E33E6A">
              <w:rPr>
                <w:rFonts w:ascii="Lora" w:eastAsia="Times New Roman" w:hAnsi="Lora" w:cs="Calibri"/>
                <w:color w:val="000000"/>
                <w:sz w:val="22"/>
                <w:lang w:eastAsia="en-AU"/>
              </w:rPr>
              <w:fldChar w:fldCharType="separate"/>
            </w:r>
            <w:r w:rsidRPr="00E33E6A">
              <w:rPr>
                <w:rFonts w:ascii="Lora" w:eastAsia="Times New Roman" w:hAnsi="Lora" w:cs="Calibri"/>
                <w:noProof/>
                <w:color w:val="000000"/>
                <w:sz w:val="22"/>
                <w:lang w:eastAsia="en-AU"/>
              </w:rPr>
              <w:t>(Marquina, 2019)</w:t>
            </w:r>
            <w:r w:rsidRPr="00E33E6A">
              <w:rPr>
                <w:rFonts w:ascii="Lora" w:eastAsia="Times New Roman" w:hAnsi="Lora" w:cs="Calibri"/>
                <w:color w:val="000000"/>
                <w:sz w:val="22"/>
                <w:lang w:eastAsia="en-AU"/>
              </w:rPr>
              <w:fldChar w:fldCharType="end"/>
            </w:r>
          </w:p>
        </w:tc>
      </w:tr>
      <w:tr w:rsidR="00C82015" w:rsidRPr="00E33E6A" w14:paraId="29411BAE" w14:textId="77777777" w:rsidTr="00C82015">
        <w:trPr>
          <w:trHeight w:val="300"/>
        </w:trPr>
        <w:tc>
          <w:tcPr>
            <w:tcW w:w="885" w:type="pct"/>
            <w:tcBorders>
              <w:top w:val="nil"/>
              <w:left w:val="nil"/>
              <w:bottom w:val="nil"/>
              <w:right w:val="nil"/>
            </w:tcBorders>
            <w:shd w:val="clear" w:color="auto" w:fill="auto"/>
            <w:noWrap/>
            <w:vAlign w:val="bottom"/>
            <w:hideMark/>
          </w:tcPr>
          <w:p w14:paraId="6DD2E2C7"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lastRenderedPageBreak/>
              <w:t>fwhF2-HexCOIR4</w:t>
            </w:r>
          </w:p>
        </w:tc>
        <w:tc>
          <w:tcPr>
            <w:tcW w:w="913" w:type="pct"/>
            <w:tcBorders>
              <w:top w:val="nil"/>
              <w:left w:val="nil"/>
              <w:bottom w:val="nil"/>
              <w:right w:val="nil"/>
            </w:tcBorders>
            <w:shd w:val="clear" w:color="auto" w:fill="auto"/>
            <w:noWrap/>
            <w:vAlign w:val="bottom"/>
            <w:hideMark/>
          </w:tcPr>
          <w:p w14:paraId="5E3D864C"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GGDACWGGWTGAACWGTWTAYCCHCC</w:t>
            </w:r>
          </w:p>
        </w:tc>
        <w:tc>
          <w:tcPr>
            <w:tcW w:w="273" w:type="pct"/>
            <w:tcBorders>
              <w:top w:val="nil"/>
              <w:left w:val="nil"/>
              <w:bottom w:val="nil"/>
              <w:right w:val="nil"/>
            </w:tcBorders>
            <w:shd w:val="clear" w:color="auto" w:fill="auto"/>
            <w:noWrap/>
            <w:vAlign w:val="bottom"/>
            <w:hideMark/>
          </w:tcPr>
          <w:p w14:paraId="7955FCE7" w14:textId="77777777" w:rsidR="00C82015" w:rsidRPr="00E33E6A" w:rsidRDefault="00C82015" w:rsidP="00C82015">
            <w:pPr>
              <w:spacing w:after="0" w:line="240" w:lineRule="auto"/>
              <w:jc w:val="right"/>
              <w:rPr>
                <w:rFonts w:ascii="Lora" w:eastAsia="Times New Roman" w:hAnsi="Lora" w:cs="Calibri"/>
                <w:color w:val="000000"/>
                <w:sz w:val="22"/>
                <w:lang w:eastAsia="en-AU"/>
              </w:rPr>
            </w:pPr>
            <w:r w:rsidRPr="00E33E6A">
              <w:rPr>
                <w:rFonts w:ascii="Lora" w:eastAsia="Times New Roman" w:hAnsi="Lora" w:cs="Calibri"/>
                <w:color w:val="000000"/>
                <w:sz w:val="22"/>
                <w:lang w:eastAsia="en-AU"/>
              </w:rPr>
              <w:t>323</w:t>
            </w:r>
          </w:p>
        </w:tc>
        <w:tc>
          <w:tcPr>
            <w:tcW w:w="746" w:type="pct"/>
            <w:tcBorders>
              <w:top w:val="nil"/>
              <w:left w:val="nil"/>
              <w:bottom w:val="nil"/>
              <w:right w:val="nil"/>
            </w:tcBorders>
            <w:shd w:val="clear" w:color="auto" w:fill="auto"/>
            <w:noWrap/>
            <w:vAlign w:val="bottom"/>
            <w:hideMark/>
          </w:tcPr>
          <w:p w14:paraId="490D8C09"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TATDGTRATDGCHCCNGC</w:t>
            </w:r>
          </w:p>
        </w:tc>
        <w:tc>
          <w:tcPr>
            <w:tcW w:w="273" w:type="pct"/>
            <w:tcBorders>
              <w:top w:val="nil"/>
              <w:left w:val="nil"/>
              <w:bottom w:val="nil"/>
              <w:right w:val="nil"/>
            </w:tcBorders>
            <w:shd w:val="clear" w:color="auto" w:fill="auto"/>
            <w:noWrap/>
            <w:vAlign w:val="bottom"/>
            <w:hideMark/>
          </w:tcPr>
          <w:p w14:paraId="27C21B53" w14:textId="77777777" w:rsidR="00C82015" w:rsidRPr="00E33E6A" w:rsidRDefault="00C82015" w:rsidP="00C82015">
            <w:pPr>
              <w:spacing w:after="0" w:line="240" w:lineRule="auto"/>
              <w:jc w:val="right"/>
              <w:rPr>
                <w:rFonts w:ascii="Lora" w:eastAsia="Times New Roman" w:hAnsi="Lora" w:cs="Calibri"/>
                <w:color w:val="000000"/>
                <w:sz w:val="22"/>
                <w:lang w:eastAsia="en-AU"/>
              </w:rPr>
            </w:pPr>
            <w:r w:rsidRPr="00E33E6A">
              <w:rPr>
                <w:rFonts w:ascii="Lora" w:eastAsia="Times New Roman" w:hAnsi="Lora" w:cs="Calibri"/>
                <w:color w:val="000000"/>
                <w:sz w:val="22"/>
                <w:lang w:eastAsia="en-AU"/>
              </w:rPr>
              <w:t>563</w:t>
            </w:r>
          </w:p>
        </w:tc>
        <w:tc>
          <w:tcPr>
            <w:tcW w:w="301" w:type="pct"/>
            <w:tcBorders>
              <w:top w:val="nil"/>
              <w:left w:val="nil"/>
              <w:bottom w:val="nil"/>
              <w:right w:val="nil"/>
            </w:tcBorders>
            <w:shd w:val="clear" w:color="000000" w:fill="D9E1F2"/>
            <w:vAlign w:val="center"/>
            <w:hideMark/>
          </w:tcPr>
          <w:p w14:paraId="16707833"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215</w:t>
            </w:r>
          </w:p>
        </w:tc>
        <w:tc>
          <w:tcPr>
            <w:tcW w:w="1610" w:type="pct"/>
            <w:tcBorders>
              <w:top w:val="nil"/>
              <w:left w:val="nil"/>
              <w:bottom w:val="nil"/>
              <w:right w:val="nil"/>
            </w:tcBorders>
            <w:shd w:val="clear" w:color="auto" w:fill="auto"/>
            <w:noWrap/>
            <w:vAlign w:val="bottom"/>
            <w:hideMark/>
          </w:tcPr>
          <w:p w14:paraId="73C009B3" w14:textId="54DB151B"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fldChar w:fldCharType="begin" w:fldLock="1"/>
            </w:r>
            <w:r w:rsidR="00333D38" w:rsidRPr="00E33E6A">
              <w:rPr>
                <w:rFonts w:ascii="Lora" w:eastAsia="Times New Roman" w:hAnsi="Lora" w:cs="Calibri"/>
                <w:color w:val="000000"/>
                <w:sz w:val="22"/>
                <w:lang w:eastAsia="en-AU"/>
              </w:rPr>
              <w:instrText>ADDIN CSL_CITATION {"citationItems":[{"id":"ITEM-1","itemData":{"DOI":"10.1111/1755-0998.12942","author":[{"dropping-particle":"","family":"Marquina","given":"Daniel","non-dropping-particle":"","parse-names":false,"suffix":""}],"id":"ITEM-1","issue":"August 2018","issued":{"date-parts":[["2019"]]},"page":"90-104","title":"New mitochondrial primers for metabarcoding of insects , designed and evaluated using in silico methods","type":"article-journal"},"uris":["http://www.mendeley.com/documents/?uuid=f3dc7057-f0ed-472b-af6d-929bddd69700"]}],"mendeley":{"formattedCitation":"(Marquina, 2019)","plainTextFormattedCitation":"(Marquina, 2019)","previouslyFormattedCitation":"(Marquina, 2019)"},"properties":{"noteIndex":0},"schema":"https://github.com/citation-style-language/schema/raw/master/csl-citation.json"}</w:instrText>
            </w:r>
            <w:r w:rsidRPr="00E33E6A">
              <w:rPr>
                <w:rFonts w:ascii="Lora" w:eastAsia="Times New Roman" w:hAnsi="Lora" w:cs="Calibri"/>
                <w:color w:val="000000"/>
                <w:sz w:val="22"/>
                <w:lang w:eastAsia="en-AU"/>
              </w:rPr>
              <w:fldChar w:fldCharType="separate"/>
            </w:r>
            <w:r w:rsidRPr="00E33E6A">
              <w:rPr>
                <w:rFonts w:ascii="Lora" w:eastAsia="Times New Roman" w:hAnsi="Lora" w:cs="Calibri"/>
                <w:noProof/>
                <w:color w:val="000000"/>
                <w:sz w:val="22"/>
                <w:lang w:eastAsia="en-AU"/>
              </w:rPr>
              <w:t>(Marquina, 2019)</w:t>
            </w:r>
            <w:r w:rsidRPr="00E33E6A">
              <w:rPr>
                <w:rFonts w:ascii="Lora" w:eastAsia="Times New Roman" w:hAnsi="Lora" w:cs="Calibri"/>
                <w:color w:val="000000"/>
                <w:sz w:val="22"/>
                <w:lang w:eastAsia="en-AU"/>
              </w:rPr>
              <w:fldChar w:fldCharType="end"/>
            </w:r>
          </w:p>
        </w:tc>
      </w:tr>
      <w:tr w:rsidR="00C82015" w:rsidRPr="00E33E6A" w14:paraId="455A19BD" w14:textId="77777777" w:rsidTr="00C82015">
        <w:trPr>
          <w:trHeight w:val="300"/>
        </w:trPr>
        <w:tc>
          <w:tcPr>
            <w:tcW w:w="885" w:type="pct"/>
            <w:tcBorders>
              <w:top w:val="nil"/>
              <w:left w:val="nil"/>
              <w:bottom w:val="nil"/>
              <w:right w:val="nil"/>
            </w:tcBorders>
            <w:shd w:val="clear" w:color="auto" w:fill="auto"/>
            <w:noWrap/>
            <w:vAlign w:val="bottom"/>
            <w:hideMark/>
          </w:tcPr>
          <w:p w14:paraId="41CF9B3B"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SauronS878-HexCOIR4</w:t>
            </w:r>
          </w:p>
        </w:tc>
        <w:tc>
          <w:tcPr>
            <w:tcW w:w="913" w:type="pct"/>
            <w:tcBorders>
              <w:top w:val="nil"/>
              <w:left w:val="nil"/>
              <w:bottom w:val="nil"/>
              <w:right w:val="nil"/>
            </w:tcBorders>
            <w:shd w:val="clear" w:color="auto" w:fill="auto"/>
            <w:noWrap/>
            <w:vAlign w:val="bottom"/>
            <w:hideMark/>
          </w:tcPr>
          <w:p w14:paraId="41FE9FF8"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GGDRCWGGWTGAACWGTWTAYCCNCC</w:t>
            </w:r>
          </w:p>
        </w:tc>
        <w:tc>
          <w:tcPr>
            <w:tcW w:w="273" w:type="pct"/>
            <w:tcBorders>
              <w:top w:val="nil"/>
              <w:left w:val="nil"/>
              <w:bottom w:val="nil"/>
              <w:right w:val="nil"/>
            </w:tcBorders>
            <w:shd w:val="clear" w:color="auto" w:fill="auto"/>
            <w:noWrap/>
            <w:vAlign w:val="bottom"/>
            <w:hideMark/>
          </w:tcPr>
          <w:p w14:paraId="604BD70A" w14:textId="77777777" w:rsidR="00C82015" w:rsidRPr="00E33E6A" w:rsidRDefault="00C82015" w:rsidP="00C82015">
            <w:pPr>
              <w:spacing w:after="0" w:line="240" w:lineRule="auto"/>
              <w:jc w:val="right"/>
              <w:rPr>
                <w:rFonts w:ascii="Lora" w:eastAsia="Times New Roman" w:hAnsi="Lora" w:cs="Calibri"/>
                <w:color w:val="000000"/>
                <w:sz w:val="22"/>
                <w:lang w:eastAsia="en-AU"/>
              </w:rPr>
            </w:pPr>
            <w:r w:rsidRPr="00E33E6A">
              <w:rPr>
                <w:rFonts w:ascii="Lora" w:eastAsia="Times New Roman" w:hAnsi="Lora" w:cs="Calibri"/>
                <w:color w:val="000000"/>
                <w:sz w:val="22"/>
                <w:lang w:eastAsia="en-AU"/>
              </w:rPr>
              <w:t>323</w:t>
            </w:r>
          </w:p>
        </w:tc>
        <w:tc>
          <w:tcPr>
            <w:tcW w:w="746" w:type="pct"/>
            <w:tcBorders>
              <w:top w:val="nil"/>
              <w:left w:val="nil"/>
              <w:bottom w:val="nil"/>
              <w:right w:val="nil"/>
            </w:tcBorders>
            <w:shd w:val="clear" w:color="auto" w:fill="auto"/>
            <w:noWrap/>
            <w:vAlign w:val="bottom"/>
            <w:hideMark/>
          </w:tcPr>
          <w:p w14:paraId="5B2731DD" w14:textId="77777777"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color w:val="000000"/>
                <w:sz w:val="22"/>
                <w:lang w:eastAsia="en-AU"/>
              </w:rPr>
              <w:t>TATDGTRATDGCHCCNGC</w:t>
            </w:r>
          </w:p>
        </w:tc>
        <w:tc>
          <w:tcPr>
            <w:tcW w:w="273" w:type="pct"/>
            <w:tcBorders>
              <w:top w:val="nil"/>
              <w:left w:val="nil"/>
              <w:bottom w:val="nil"/>
              <w:right w:val="nil"/>
            </w:tcBorders>
            <w:shd w:val="clear" w:color="auto" w:fill="auto"/>
            <w:noWrap/>
            <w:vAlign w:val="bottom"/>
            <w:hideMark/>
          </w:tcPr>
          <w:p w14:paraId="09B0C128" w14:textId="77777777" w:rsidR="00C82015" w:rsidRPr="00E33E6A" w:rsidRDefault="00C82015" w:rsidP="00C82015">
            <w:pPr>
              <w:spacing w:after="0" w:line="240" w:lineRule="auto"/>
              <w:jc w:val="right"/>
              <w:rPr>
                <w:rFonts w:ascii="Lora" w:eastAsia="Times New Roman" w:hAnsi="Lora" w:cs="Calibri"/>
                <w:color w:val="000000"/>
                <w:sz w:val="22"/>
                <w:lang w:eastAsia="en-AU"/>
              </w:rPr>
            </w:pPr>
            <w:r w:rsidRPr="00E33E6A">
              <w:rPr>
                <w:rFonts w:ascii="Lora" w:eastAsia="Times New Roman" w:hAnsi="Lora" w:cs="Calibri"/>
                <w:color w:val="000000"/>
                <w:sz w:val="22"/>
                <w:lang w:eastAsia="en-AU"/>
              </w:rPr>
              <w:t>563</w:t>
            </w:r>
          </w:p>
        </w:tc>
        <w:tc>
          <w:tcPr>
            <w:tcW w:w="301" w:type="pct"/>
            <w:tcBorders>
              <w:top w:val="nil"/>
              <w:left w:val="nil"/>
              <w:bottom w:val="nil"/>
              <w:right w:val="nil"/>
            </w:tcBorders>
            <w:shd w:val="clear" w:color="000000" w:fill="D9E1F2"/>
            <w:vAlign w:val="center"/>
            <w:hideMark/>
          </w:tcPr>
          <w:p w14:paraId="6B357A7A" w14:textId="77777777" w:rsidR="00C82015" w:rsidRPr="00E33E6A" w:rsidRDefault="00C82015" w:rsidP="00C82015">
            <w:pPr>
              <w:spacing w:after="0" w:line="240" w:lineRule="auto"/>
              <w:jc w:val="right"/>
              <w:rPr>
                <w:rFonts w:ascii="Lora" w:eastAsia="Times New Roman" w:hAnsi="Lora" w:cs="Courier New"/>
                <w:color w:val="000000"/>
                <w:sz w:val="22"/>
                <w:lang w:eastAsia="en-AU"/>
              </w:rPr>
            </w:pPr>
            <w:r w:rsidRPr="00E33E6A">
              <w:rPr>
                <w:rFonts w:ascii="Lora" w:eastAsia="Times New Roman" w:hAnsi="Lora" w:cs="Courier New"/>
                <w:color w:val="000000"/>
                <w:sz w:val="22"/>
                <w:lang w:eastAsia="en-AU"/>
              </w:rPr>
              <w:t>215</w:t>
            </w:r>
          </w:p>
        </w:tc>
        <w:tc>
          <w:tcPr>
            <w:tcW w:w="1610" w:type="pct"/>
            <w:tcBorders>
              <w:top w:val="nil"/>
              <w:left w:val="nil"/>
              <w:bottom w:val="nil"/>
              <w:right w:val="nil"/>
            </w:tcBorders>
            <w:shd w:val="clear" w:color="auto" w:fill="auto"/>
            <w:noWrap/>
            <w:vAlign w:val="bottom"/>
            <w:hideMark/>
          </w:tcPr>
          <w:p w14:paraId="7DA88743" w14:textId="6D09082D" w:rsidR="00C82015" w:rsidRPr="00E33E6A" w:rsidRDefault="00C82015" w:rsidP="00C82015">
            <w:pPr>
              <w:spacing w:after="0" w:line="240" w:lineRule="auto"/>
              <w:rPr>
                <w:rFonts w:ascii="Lora" w:eastAsia="Times New Roman" w:hAnsi="Lora" w:cs="Calibri"/>
                <w:color w:val="000000"/>
                <w:sz w:val="22"/>
                <w:lang w:eastAsia="en-AU"/>
              </w:rPr>
            </w:pPr>
            <w:r w:rsidRPr="00E33E6A">
              <w:rPr>
                <w:rFonts w:ascii="Lora" w:eastAsia="Times New Roman" w:hAnsi="Lora" w:cs="Calibri"/>
                <w:noProof/>
                <w:color w:val="000000"/>
                <w:sz w:val="22"/>
                <w:lang w:eastAsia="en-AU"/>
              </w:rPr>
              <w:t>Marquina, 2019)</w:t>
            </w:r>
          </w:p>
        </w:tc>
      </w:tr>
    </w:tbl>
    <w:p w14:paraId="77E9AB6E" w14:textId="7DE0160E" w:rsidR="00C82015" w:rsidRPr="00E33E6A" w:rsidRDefault="00C82015" w:rsidP="0016608D">
      <w:pPr>
        <w:spacing w:after="160" w:line="360" w:lineRule="auto"/>
        <w:rPr>
          <w:rFonts w:ascii="Lora" w:eastAsiaTheme="majorEastAsia" w:hAnsi="Lora" w:cstheme="majorBidi"/>
          <w:color w:val="000000" w:themeColor="text1"/>
          <w:sz w:val="22"/>
        </w:rPr>
      </w:pPr>
      <w:r w:rsidRPr="00E33E6A">
        <w:rPr>
          <w:rFonts w:ascii="Lora" w:eastAsiaTheme="majorEastAsia" w:hAnsi="Lora" w:cstheme="majorBidi"/>
          <w:color w:val="000000" w:themeColor="text1"/>
          <w:sz w:val="22"/>
        </w:rPr>
        <w:t>Table 1: Published and novel primers evaluated in this study</w:t>
      </w:r>
    </w:p>
    <w:p w14:paraId="4916FF8B" w14:textId="74060BF4" w:rsidR="003240D2" w:rsidRDefault="00C82015" w:rsidP="00C82015">
      <w:pPr>
        <w:spacing w:after="160" w:line="259" w:lineRule="auto"/>
        <w:rPr>
          <w:rFonts w:ascii="Lora" w:hAnsi="Lora"/>
          <w:sz w:val="22"/>
        </w:rPr>
      </w:pPr>
      <w:r w:rsidRPr="00E33E6A">
        <w:rPr>
          <w:rFonts w:ascii="Lora" w:eastAsiaTheme="majorEastAsia" w:hAnsi="Lora" w:cstheme="majorBidi"/>
          <w:i/>
          <w:color w:val="000000" w:themeColor="text1"/>
          <w:sz w:val="22"/>
        </w:rPr>
        <w:br w:type="page"/>
      </w:r>
      <w:r w:rsidR="003240D2" w:rsidRPr="00E33E6A">
        <w:rPr>
          <w:rFonts w:ascii="Lora" w:hAnsi="Lora"/>
          <w:sz w:val="22"/>
        </w:rPr>
        <w:lastRenderedPageBreak/>
        <w:t xml:space="preserve">Figures: </w:t>
      </w:r>
    </w:p>
    <w:p w14:paraId="270588CD" w14:textId="27EE5EB7" w:rsidR="00D345E6" w:rsidRDefault="00D345E6" w:rsidP="00C82015">
      <w:pPr>
        <w:spacing w:after="160" w:line="259" w:lineRule="auto"/>
        <w:rPr>
          <w:rFonts w:ascii="Lora" w:hAnsi="Lora"/>
          <w:sz w:val="22"/>
        </w:rPr>
      </w:pPr>
      <w:r>
        <w:rPr>
          <w:rFonts w:ascii="Lora" w:hAnsi="Lora"/>
          <w:sz w:val="22"/>
        </w:rPr>
        <w:t xml:space="preserve">Figure 1 – </w:t>
      </w:r>
      <w:proofErr w:type="spellStart"/>
      <w:r>
        <w:rPr>
          <w:rFonts w:ascii="Lora" w:hAnsi="Lora"/>
          <w:sz w:val="22"/>
        </w:rPr>
        <w:t>Pestlist</w:t>
      </w:r>
      <w:proofErr w:type="spellEnd"/>
    </w:p>
    <w:p w14:paraId="3B99728E" w14:textId="0BFF8F3E" w:rsidR="00D345E6" w:rsidRPr="00E33E6A" w:rsidRDefault="00D345E6" w:rsidP="00C82015">
      <w:pPr>
        <w:spacing w:after="160" w:line="259" w:lineRule="auto"/>
        <w:rPr>
          <w:rFonts w:ascii="Lora" w:hAnsi="Lora"/>
          <w:sz w:val="22"/>
        </w:rPr>
      </w:pPr>
      <w:r>
        <w:rPr>
          <w:rFonts w:ascii="Lora" w:hAnsi="Lora"/>
          <w:noProof/>
          <w:sz w:val="22"/>
        </w:rPr>
        <w:drawing>
          <wp:inline distT="0" distB="0" distL="0" distR="0" wp14:anchorId="36B68F78" wp14:editId="34390EF5">
            <wp:extent cx="5719445" cy="4054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45" cy="4054475"/>
                    </a:xfrm>
                    <a:prstGeom prst="rect">
                      <a:avLst/>
                    </a:prstGeom>
                    <a:noFill/>
                    <a:ln>
                      <a:noFill/>
                    </a:ln>
                  </pic:spPr>
                </pic:pic>
              </a:graphicData>
            </a:graphic>
          </wp:inline>
        </w:drawing>
      </w:r>
    </w:p>
    <w:p w14:paraId="0A9FBB39" w14:textId="0CF50402" w:rsidR="001321D7" w:rsidRPr="00E33E6A" w:rsidRDefault="001321D7" w:rsidP="0016608D">
      <w:pPr>
        <w:spacing w:line="360" w:lineRule="auto"/>
        <w:rPr>
          <w:rFonts w:ascii="Lora" w:hAnsi="Lora"/>
          <w:sz w:val="22"/>
        </w:rPr>
      </w:pPr>
    </w:p>
    <w:p w14:paraId="2EA787AF" w14:textId="22989569" w:rsidR="00C82015" w:rsidRPr="00E33E6A" w:rsidRDefault="00C82015" w:rsidP="0016608D">
      <w:pPr>
        <w:spacing w:line="360" w:lineRule="auto"/>
        <w:rPr>
          <w:rFonts w:ascii="Lora" w:hAnsi="Lora"/>
          <w:sz w:val="22"/>
        </w:rPr>
      </w:pPr>
      <w:commentRangeStart w:id="6"/>
      <w:r w:rsidRPr="00E33E6A">
        <w:rPr>
          <w:rFonts w:ascii="Lora" w:hAnsi="Lora"/>
          <w:noProof/>
          <w:sz w:val="22"/>
        </w:rPr>
        <w:lastRenderedPageBreak/>
        <w:drawing>
          <wp:inline distT="0" distB="0" distL="0" distR="0" wp14:anchorId="52A8B4F6" wp14:editId="2D3316B6">
            <wp:extent cx="5724525" cy="4057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inline>
        </w:drawing>
      </w:r>
      <w:commentRangeEnd w:id="6"/>
      <w:r w:rsidR="00A51BEA">
        <w:rPr>
          <w:rStyle w:val="CommentReference"/>
        </w:rPr>
        <w:commentReference w:id="6"/>
      </w:r>
    </w:p>
    <w:p w14:paraId="6A70D418" w14:textId="77777777" w:rsidR="00B25585" w:rsidRPr="00E33E6A" w:rsidRDefault="00B25585" w:rsidP="0016608D">
      <w:pPr>
        <w:spacing w:line="360" w:lineRule="auto"/>
        <w:rPr>
          <w:rFonts w:ascii="Lora" w:hAnsi="Lora"/>
          <w:sz w:val="22"/>
        </w:rPr>
      </w:pPr>
    </w:p>
    <w:p w14:paraId="2EF95E98" w14:textId="2FAEAF88" w:rsidR="00E325F6" w:rsidRPr="00E33E6A" w:rsidRDefault="00E325F6" w:rsidP="0016608D">
      <w:pPr>
        <w:spacing w:line="360" w:lineRule="auto"/>
        <w:rPr>
          <w:rFonts w:ascii="Lora" w:hAnsi="Lora"/>
          <w:sz w:val="22"/>
        </w:rPr>
      </w:pPr>
    </w:p>
    <w:p w14:paraId="38601475" w14:textId="77777777" w:rsidR="00C82015" w:rsidRPr="00E33E6A" w:rsidRDefault="00C82015" w:rsidP="00C82015">
      <w:pPr>
        <w:spacing w:after="160" w:line="360" w:lineRule="auto"/>
        <w:rPr>
          <w:rFonts w:ascii="Lora" w:hAnsi="Lora"/>
          <w:sz w:val="22"/>
        </w:rPr>
      </w:pPr>
      <w:commentRangeStart w:id="7"/>
      <w:r w:rsidRPr="00E33E6A">
        <w:rPr>
          <w:rFonts w:ascii="Lora" w:hAnsi="Lora"/>
          <w:noProof/>
          <w:sz w:val="22"/>
        </w:rPr>
        <w:lastRenderedPageBreak/>
        <w:drawing>
          <wp:inline distT="0" distB="0" distL="0" distR="0" wp14:anchorId="13C6E7F5" wp14:editId="50BD5C86">
            <wp:extent cx="5724525" cy="809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commentRangeEnd w:id="7"/>
      <w:r w:rsidR="00434FBD">
        <w:rPr>
          <w:rStyle w:val="CommentReference"/>
        </w:rPr>
        <w:commentReference w:id="7"/>
      </w:r>
    </w:p>
    <w:p w14:paraId="58FD9841" w14:textId="77777777" w:rsidR="00C82015" w:rsidRPr="00E33E6A" w:rsidRDefault="00C82015" w:rsidP="00C82015">
      <w:pPr>
        <w:spacing w:after="160" w:line="360" w:lineRule="auto"/>
        <w:rPr>
          <w:rFonts w:ascii="Lora" w:hAnsi="Lora"/>
          <w:i/>
          <w:sz w:val="22"/>
        </w:rPr>
      </w:pPr>
      <w:r w:rsidRPr="00E33E6A">
        <w:rPr>
          <w:rFonts w:ascii="Lora" w:hAnsi="Lora"/>
          <w:i/>
          <w:sz w:val="22"/>
        </w:rPr>
        <w:t>Figure 2 - Evaluation of novel and existing primers for resolution across pest insect families</w:t>
      </w:r>
    </w:p>
    <w:p w14:paraId="1190FD16" w14:textId="77777777" w:rsidR="00C82015" w:rsidRPr="00E33E6A" w:rsidRDefault="00C82015" w:rsidP="00C82015">
      <w:pPr>
        <w:keepNext/>
        <w:spacing w:after="160" w:line="360" w:lineRule="auto"/>
        <w:rPr>
          <w:rFonts w:ascii="Lora" w:hAnsi="Lora"/>
          <w:sz w:val="22"/>
        </w:rPr>
      </w:pPr>
      <w:r w:rsidRPr="00E33E6A">
        <w:rPr>
          <w:rFonts w:ascii="Lora" w:hAnsi="Lora"/>
          <w:sz w:val="22"/>
        </w:rPr>
        <w:lastRenderedPageBreak/>
        <w:t>Figure3 - Evaluation of individual Primers for mismatch</w:t>
      </w:r>
    </w:p>
    <w:p w14:paraId="0249DFC8" w14:textId="77777777" w:rsidR="00C82015" w:rsidRPr="00E33E6A" w:rsidRDefault="00C82015" w:rsidP="00C82015">
      <w:pPr>
        <w:keepNext/>
        <w:spacing w:after="160" w:line="360" w:lineRule="auto"/>
        <w:rPr>
          <w:rFonts w:ascii="Lora" w:hAnsi="Lora"/>
          <w:sz w:val="22"/>
        </w:rPr>
      </w:pPr>
      <w:commentRangeStart w:id="8"/>
      <w:r w:rsidRPr="00E33E6A">
        <w:rPr>
          <w:rFonts w:ascii="Lora" w:hAnsi="Lora"/>
          <w:noProof/>
          <w:sz w:val="22"/>
        </w:rPr>
        <w:drawing>
          <wp:inline distT="0" distB="0" distL="0" distR="0" wp14:anchorId="671AA444" wp14:editId="041CAFC8">
            <wp:extent cx="5731510" cy="3863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63340"/>
                    </a:xfrm>
                    <a:prstGeom prst="rect">
                      <a:avLst/>
                    </a:prstGeom>
                  </pic:spPr>
                </pic:pic>
              </a:graphicData>
            </a:graphic>
          </wp:inline>
        </w:drawing>
      </w:r>
      <w:commentRangeEnd w:id="8"/>
      <w:r w:rsidR="00434FBD">
        <w:rPr>
          <w:rStyle w:val="CommentReference"/>
        </w:rPr>
        <w:commentReference w:id="8"/>
      </w:r>
    </w:p>
    <w:p w14:paraId="5B90C4BA" w14:textId="509692CC" w:rsidR="00E325F6" w:rsidRPr="00E33E6A" w:rsidRDefault="00E325F6" w:rsidP="0016608D">
      <w:pPr>
        <w:spacing w:line="360" w:lineRule="auto"/>
        <w:rPr>
          <w:rFonts w:ascii="Lora" w:hAnsi="Lora"/>
          <w:sz w:val="22"/>
        </w:rPr>
      </w:pPr>
    </w:p>
    <w:p w14:paraId="3FF4A0AE" w14:textId="77777777" w:rsidR="00C82015" w:rsidRDefault="00C82015" w:rsidP="0016608D">
      <w:pPr>
        <w:keepNext/>
        <w:spacing w:after="160" w:line="360" w:lineRule="auto"/>
        <w:rPr>
          <w:rFonts w:ascii="Lora" w:hAnsi="Lora"/>
          <w:noProof/>
          <w:sz w:val="22"/>
        </w:rPr>
      </w:pPr>
    </w:p>
    <w:p w14:paraId="23E72EAB" w14:textId="72DCB160" w:rsidR="00755113" w:rsidRPr="00E33E6A" w:rsidRDefault="00755113" w:rsidP="0016608D">
      <w:pPr>
        <w:keepNext/>
        <w:spacing w:after="160" w:line="360" w:lineRule="auto"/>
        <w:rPr>
          <w:rFonts w:ascii="Lora" w:hAnsi="Lora"/>
          <w:noProof/>
          <w:sz w:val="22"/>
        </w:rPr>
      </w:pPr>
    </w:p>
    <w:p w14:paraId="59D4ED7E" w14:textId="141F9E39" w:rsidR="00755113" w:rsidRPr="00E33E6A" w:rsidRDefault="00755113" w:rsidP="0016608D">
      <w:pPr>
        <w:keepNext/>
        <w:spacing w:after="160" w:line="360" w:lineRule="auto"/>
        <w:rPr>
          <w:rFonts w:ascii="Lora" w:hAnsi="Lora"/>
          <w:noProof/>
          <w:sz w:val="22"/>
        </w:rPr>
      </w:pPr>
      <w:r w:rsidRPr="00E33E6A">
        <w:rPr>
          <w:rFonts w:ascii="Lora" w:hAnsi="Lora"/>
          <w:noProof/>
          <w:sz w:val="22"/>
        </w:rPr>
        <w:t xml:space="preserve"> </w:t>
      </w:r>
    </w:p>
    <w:p w14:paraId="681E9AE0" w14:textId="77777777" w:rsidR="00755113" w:rsidRPr="00E33E6A" w:rsidRDefault="00755113" w:rsidP="0016608D">
      <w:pPr>
        <w:keepNext/>
        <w:spacing w:after="160" w:line="360" w:lineRule="auto"/>
        <w:rPr>
          <w:rFonts w:ascii="Lora" w:hAnsi="Lora"/>
          <w:noProof/>
          <w:sz w:val="22"/>
        </w:rPr>
      </w:pPr>
    </w:p>
    <w:p w14:paraId="6719B5F5" w14:textId="1D1D9D13" w:rsidR="00F42300" w:rsidRPr="00E33E6A" w:rsidRDefault="00755113" w:rsidP="009C14C2">
      <w:pPr>
        <w:keepNext/>
        <w:spacing w:after="160" w:line="360" w:lineRule="auto"/>
        <w:rPr>
          <w:rFonts w:ascii="Lora" w:hAnsi="Lora"/>
          <w:sz w:val="22"/>
        </w:rPr>
      </w:pPr>
      <w:r w:rsidRPr="00E33E6A">
        <w:rPr>
          <w:rFonts w:ascii="Lora" w:hAnsi="Lora"/>
          <w:noProof/>
          <w:sz w:val="22"/>
        </w:rPr>
        <w:t xml:space="preserve"> </w:t>
      </w:r>
    </w:p>
    <w:p w14:paraId="43B4DEE8" w14:textId="39CE7BA7" w:rsidR="0029315A" w:rsidRPr="00E33E6A" w:rsidRDefault="00675226" w:rsidP="00675226">
      <w:pPr>
        <w:keepNext/>
        <w:spacing w:after="160" w:line="360" w:lineRule="auto"/>
        <w:rPr>
          <w:rFonts w:ascii="Lora" w:hAnsi="Lora"/>
          <w:sz w:val="22"/>
        </w:rPr>
      </w:pPr>
      <w:r w:rsidRPr="00E33E6A">
        <w:rPr>
          <w:rFonts w:ascii="Lora" w:hAnsi="Lora"/>
          <w:sz w:val="22"/>
        </w:rPr>
        <w:t xml:space="preserve"> </w:t>
      </w:r>
    </w:p>
    <w:sectPr w:rsidR="0029315A" w:rsidRPr="00E33E6A" w:rsidSect="00C82015">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er Piper (DEDJTR)" w:date="2020-01-06T12:01:00Z" w:initials="AP(">
    <w:p w14:paraId="508EBED6" w14:textId="77777777" w:rsidR="00305E77" w:rsidRDefault="00305E77" w:rsidP="00886794">
      <w:pPr>
        <w:pStyle w:val="CommentText"/>
      </w:pPr>
      <w:r>
        <w:rPr>
          <w:rStyle w:val="CommentReference"/>
        </w:rPr>
        <w:annotationRef/>
      </w:r>
      <w:r>
        <w:rPr>
          <w:rStyle w:val="CommentReference"/>
        </w:rPr>
        <w:annotationRef/>
      </w:r>
      <w:r>
        <w:t xml:space="preserve">Potentially add </w:t>
      </w:r>
      <w:proofErr w:type="spellStart"/>
      <w:r>
        <w:t>francesco</w:t>
      </w:r>
      <w:proofErr w:type="spellEnd"/>
      <w:r>
        <w:t xml:space="preserve"> and </w:t>
      </w:r>
      <w:proofErr w:type="spellStart"/>
      <w:r>
        <w:t>brendan</w:t>
      </w:r>
      <w:proofErr w:type="spellEnd"/>
      <w:r>
        <w:t xml:space="preserve"> to this</w:t>
      </w:r>
    </w:p>
    <w:p w14:paraId="05681952" w14:textId="05A013FE" w:rsidR="00305E77" w:rsidRDefault="00305E77">
      <w:pPr>
        <w:pStyle w:val="CommentText"/>
      </w:pPr>
    </w:p>
  </w:comment>
  <w:comment w:id="3" w:author="Alexander Piper (DEDJTR)" w:date="2019-11-05T11:47:00Z" w:initials="AP(">
    <w:p w14:paraId="1E01D645" w14:textId="77777777" w:rsidR="00305E77" w:rsidRDefault="00305E77">
      <w:pPr>
        <w:pStyle w:val="CommentText"/>
      </w:pPr>
      <w:r>
        <w:rPr>
          <w:rStyle w:val="CommentReference"/>
        </w:rPr>
        <w:annotationRef/>
      </w:r>
      <w:r>
        <w:t>Good primer evaluation ref:</w:t>
      </w:r>
    </w:p>
    <w:p w14:paraId="5C7E2E68" w14:textId="6FC7294B" w:rsidR="00305E77" w:rsidRDefault="00305E77" w:rsidP="0011424E">
      <w:pPr>
        <w:pStyle w:val="CommentText"/>
        <w:numPr>
          <w:ilvl w:val="0"/>
          <w:numId w:val="10"/>
        </w:numPr>
      </w:pPr>
      <w:r>
        <w:t>Collins RA, Bakker J, Wangensteen OS, Soto AZ, Corrigan L, Sims DW, et al. Non</w:t>
      </w:r>
      <w:r>
        <w:rPr>
          <w:rFonts w:ascii="Times New Roman" w:hAnsi="Times New Roman" w:cs="Times New Roman"/>
        </w:rPr>
        <w:t>‐</w:t>
      </w:r>
      <w:r>
        <w:t xml:space="preserve">specific amplification compromises environmental DNA metabarcoding with COI. Methods </w:t>
      </w:r>
      <w:proofErr w:type="spellStart"/>
      <w:r>
        <w:t>Ecol</w:t>
      </w:r>
      <w:proofErr w:type="spellEnd"/>
      <w:r>
        <w:t xml:space="preserve"> </w:t>
      </w:r>
      <w:proofErr w:type="spellStart"/>
      <w:r>
        <w:t>Evol</w:t>
      </w:r>
      <w:proofErr w:type="spellEnd"/>
      <w:r>
        <w:t xml:space="preserve">. </w:t>
      </w:r>
      <w:proofErr w:type="gramStart"/>
      <w:r>
        <w:t>2019;2019:1</w:t>
      </w:r>
      <w:proofErr w:type="gramEnd"/>
      <w:r>
        <w:t>–17.</w:t>
      </w:r>
    </w:p>
    <w:p w14:paraId="7217B3EE" w14:textId="01CACF45" w:rsidR="00305E77" w:rsidRDefault="00305E77" w:rsidP="0011424E">
      <w:pPr>
        <w:pStyle w:val="CommentText"/>
        <w:numPr>
          <w:ilvl w:val="0"/>
          <w:numId w:val="10"/>
        </w:numPr>
      </w:pPr>
    </w:p>
  </w:comment>
  <w:comment w:id="2" w:author="Alexander Piper (DEDJTR)" w:date="2020-02-12T15:54:00Z" w:initials="AP(">
    <w:p w14:paraId="6DB2E1BE" w14:textId="77777777" w:rsidR="00305E77" w:rsidRDefault="00305E77" w:rsidP="001070E9">
      <w:pPr>
        <w:spacing w:line="360" w:lineRule="auto"/>
        <w:jc w:val="both"/>
        <w:rPr>
          <w:rFonts w:ascii="Lora" w:hAnsi="Lora"/>
          <w:sz w:val="22"/>
        </w:rPr>
      </w:pPr>
      <w:r>
        <w:rPr>
          <w:rStyle w:val="CommentReference"/>
        </w:rPr>
        <w:annotationRef/>
      </w:r>
      <w:r w:rsidRPr="00723635">
        <w:rPr>
          <w:rFonts w:ascii="Lora" w:hAnsi="Lora"/>
          <w:sz w:val="22"/>
        </w:rPr>
        <w:t>key differences between HTS and conventional tests</w:t>
      </w:r>
      <w:r>
        <w:rPr>
          <w:rFonts w:ascii="Lora" w:hAnsi="Lora"/>
          <w:sz w:val="22"/>
        </w:rPr>
        <w:t xml:space="preserve"> </w:t>
      </w:r>
      <w:r w:rsidRPr="00723635">
        <w:rPr>
          <w:rFonts w:ascii="Lora" w:hAnsi="Lora"/>
          <w:sz w:val="22"/>
        </w:rPr>
        <w:t>within a quality framework is the non-targeted nature</w:t>
      </w:r>
    </w:p>
    <w:p w14:paraId="1E6B2970" w14:textId="10216F2E" w:rsidR="00305E77" w:rsidRDefault="00305E77">
      <w:pPr>
        <w:pStyle w:val="CommentText"/>
      </w:pPr>
    </w:p>
  </w:comment>
  <w:comment w:id="6" w:author="Alexander Piper (DEDJTR)" w:date="2020-01-08T17:55:00Z" w:initials="AP(">
    <w:p w14:paraId="1DC0FD0A" w14:textId="779FE74F" w:rsidR="00305E77" w:rsidRDefault="00305E77">
      <w:pPr>
        <w:pStyle w:val="CommentText"/>
      </w:pPr>
      <w:r>
        <w:rPr>
          <w:rStyle w:val="CommentReference"/>
        </w:rPr>
        <w:annotationRef/>
      </w:r>
      <w:r>
        <w:t>This needs to be reduced majorly</w:t>
      </w:r>
    </w:p>
  </w:comment>
  <w:comment w:id="7" w:author="Alexander Piper (DEDJTR)" w:date="2020-01-08T17:50:00Z" w:initials="AP(">
    <w:p w14:paraId="75334D9F" w14:textId="77777777" w:rsidR="00305E77" w:rsidRDefault="00305E77">
      <w:pPr>
        <w:pStyle w:val="CommentText"/>
      </w:pPr>
      <w:r>
        <w:rPr>
          <w:rStyle w:val="CommentReference"/>
        </w:rPr>
        <w:annotationRef/>
      </w:r>
      <w:r>
        <w:t xml:space="preserve">Need to add a non- amplified – which can be the total number of species minus </w:t>
      </w:r>
      <w:proofErr w:type="spellStart"/>
      <w:r>
        <w:t>whats</w:t>
      </w:r>
      <w:proofErr w:type="spellEnd"/>
      <w:r>
        <w:t xml:space="preserve"> in the plot already</w:t>
      </w:r>
    </w:p>
    <w:p w14:paraId="4832C3D3" w14:textId="77777777" w:rsidR="00305E77" w:rsidRDefault="00305E77">
      <w:pPr>
        <w:pStyle w:val="CommentText"/>
      </w:pPr>
    </w:p>
    <w:p w14:paraId="5E2760A5" w14:textId="7A542789" w:rsidR="00305E77" w:rsidRDefault="00305E77">
      <w:pPr>
        <w:pStyle w:val="CommentText"/>
      </w:pPr>
      <w:r>
        <w:t>Somehow combine this plot with the entropy one – as this one is all about identification success and placement of barcode</w:t>
      </w:r>
    </w:p>
  </w:comment>
  <w:comment w:id="8" w:author="Alexander Piper (DEDJTR)" w:date="2020-01-08T17:51:00Z" w:initials="AP(">
    <w:p w14:paraId="69524A25" w14:textId="77777777" w:rsidR="00305E77" w:rsidRDefault="00305E77">
      <w:pPr>
        <w:pStyle w:val="CommentText"/>
      </w:pPr>
      <w:r>
        <w:rPr>
          <w:rStyle w:val="CommentReference"/>
        </w:rPr>
        <w:annotationRef/>
      </w:r>
      <w:r>
        <w:t xml:space="preserve">Flip this on its side, have a </w:t>
      </w:r>
      <w:proofErr w:type="spellStart"/>
      <w:r>
        <w:t>dendogram</w:t>
      </w:r>
      <w:proofErr w:type="spellEnd"/>
      <w:r>
        <w:t xml:space="preserve"> of taxonomy (or phylogenetic tree) on the left side, and this on the right (use </w:t>
      </w:r>
      <w:proofErr w:type="spellStart"/>
      <w:r>
        <w:t>ggtree</w:t>
      </w:r>
      <w:proofErr w:type="spellEnd"/>
      <w:r>
        <w:t>) to show how the red is concentrated across certain branches of the phylogeny.</w:t>
      </w:r>
    </w:p>
    <w:p w14:paraId="5852352A" w14:textId="77777777" w:rsidR="00305E77" w:rsidRDefault="00305E77">
      <w:pPr>
        <w:pStyle w:val="CommentText"/>
      </w:pPr>
    </w:p>
    <w:p w14:paraId="0978331E" w14:textId="77777777" w:rsidR="00305E77" w:rsidRDefault="00305E77">
      <w:pPr>
        <w:pStyle w:val="CommentText"/>
      </w:pPr>
      <w:proofErr w:type="gramStart"/>
      <w:r>
        <w:t xml:space="preserve">Maybe  </w:t>
      </w:r>
      <w:proofErr w:type="spellStart"/>
      <w:r>
        <w:t>ican</w:t>
      </w:r>
      <w:proofErr w:type="spellEnd"/>
      <w:proofErr w:type="gramEnd"/>
      <w:r>
        <w:t xml:space="preserve"> download a backbone phylogeny for </w:t>
      </w:r>
      <w:proofErr w:type="spellStart"/>
      <w:r>
        <w:t>insecta</w:t>
      </w:r>
      <w:proofErr w:type="spellEnd"/>
      <w:r>
        <w:t>?</w:t>
      </w:r>
    </w:p>
    <w:p w14:paraId="3962B750" w14:textId="77777777" w:rsidR="00305E77" w:rsidRDefault="00305E77">
      <w:pPr>
        <w:pStyle w:val="CommentText"/>
      </w:pPr>
    </w:p>
    <w:p w14:paraId="1D1530AD" w14:textId="796A09C7" w:rsidR="00305E77" w:rsidRDefault="00305E77">
      <w:pPr>
        <w:pStyle w:val="CommentText"/>
      </w:pPr>
      <w:r>
        <w:t xml:space="preserve">Could try and turn it into a </w:t>
      </w:r>
      <w:proofErr w:type="gramStart"/>
      <w:r>
        <w:t>full page</w:t>
      </w:r>
      <w:proofErr w:type="gramEnd"/>
      <w:r>
        <w:t xml:space="preserve"> figure and have the plot of entropy above, If I can condense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681952" w15:done="0"/>
  <w15:commentEx w15:paraId="7217B3EE" w15:done="0"/>
  <w15:commentEx w15:paraId="1E6B2970" w15:done="0"/>
  <w15:commentEx w15:paraId="1DC0FD0A" w15:done="0"/>
  <w15:commentEx w15:paraId="5E2760A5" w15:done="0"/>
  <w15:commentEx w15:paraId="1D1530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681952" w16cid:durableId="21BDA031"/>
  <w16cid:commentId w16cid:paraId="7217B3EE" w16cid:durableId="216BDFC5"/>
  <w16cid:commentId w16cid:paraId="1E6B2970" w16cid:durableId="21EE9E1B"/>
  <w16cid:commentId w16cid:paraId="1DC0FD0A" w16cid:durableId="21C0962E"/>
  <w16cid:commentId w16cid:paraId="5E2760A5" w16cid:durableId="21C094E3"/>
  <w16cid:commentId w16cid:paraId="1D1530AD" w16cid:durableId="21C095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CED7E" w14:textId="77777777" w:rsidR="00AC5FA9" w:rsidRDefault="00AC5FA9" w:rsidP="00200AB7">
      <w:pPr>
        <w:spacing w:after="0" w:line="240" w:lineRule="auto"/>
      </w:pPr>
      <w:r>
        <w:separator/>
      </w:r>
    </w:p>
  </w:endnote>
  <w:endnote w:type="continuationSeparator" w:id="0">
    <w:p w14:paraId="79E0A74F" w14:textId="77777777" w:rsidR="00AC5FA9" w:rsidRDefault="00AC5FA9" w:rsidP="00200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ra">
    <w:panose1 w:val="00000500000000000000"/>
    <w:charset w:val="00"/>
    <w:family w:val="auto"/>
    <w:pitch w:val="variable"/>
    <w:sig w:usb0="20000207" w:usb1="00000000"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9CAB1" w14:textId="77777777" w:rsidR="00AC5FA9" w:rsidRDefault="00AC5FA9" w:rsidP="00200AB7">
      <w:pPr>
        <w:spacing w:after="0" w:line="240" w:lineRule="auto"/>
      </w:pPr>
      <w:r>
        <w:separator/>
      </w:r>
    </w:p>
  </w:footnote>
  <w:footnote w:type="continuationSeparator" w:id="0">
    <w:p w14:paraId="0766A966" w14:textId="77777777" w:rsidR="00AC5FA9" w:rsidRDefault="00AC5FA9" w:rsidP="00200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FD5"/>
    <w:multiLevelType w:val="hybridMultilevel"/>
    <w:tmpl w:val="04A6CCA6"/>
    <w:lvl w:ilvl="0" w:tplc="81180264">
      <w:start w:val="1"/>
      <w:numFmt w:val="bullet"/>
      <w:lvlText w:val="•"/>
      <w:lvlJc w:val="left"/>
      <w:pPr>
        <w:tabs>
          <w:tab w:val="num" w:pos="720"/>
        </w:tabs>
        <w:ind w:left="720" w:hanging="360"/>
      </w:pPr>
      <w:rPr>
        <w:rFonts w:ascii="Arial" w:hAnsi="Arial" w:hint="default"/>
      </w:rPr>
    </w:lvl>
    <w:lvl w:ilvl="1" w:tplc="F85814DE" w:tentative="1">
      <w:start w:val="1"/>
      <w:numFmt w:val="bullet"/>
      <w:lvlText w:val="•"/>
      <w:lvlJc w:val="left"/>
      <w:pPr>
        <w:tabs>
          <w:tab w:val="num" w:pos="1440"/>
        </w:tabs>
        <w:ind w:left="1440" w:hanging="360"/>
      </w:pPr>
      <w:rPr>
        <w:rFonts w:ascii="Arial" w:hAnsi="Arial" w:hint="default"/>
      </w:rPr>
    </w:lvl>
    <w:lvl w:ilvl="2" w:tplc="EB107788" w:tentative="1">
      <w:start w:val="1"/>
      <w:numFmt w:val="bullet"/>
      <w:lvlText w:val="•"/>
      <w:lvlJc w:val="left"/>
      <w:pPr>
        <w:tabs>
          <w:tab w:val="num" w:pos="2160"/>
        </w:tabs>
        <w:ind w:left="2160" w:hanging="360"/>
      </w:pPr>
      <w:rPr>
        <w:rFonts w:ascii="Arial" w:hAnsi="Arial" w:hint="default"/>
      </w:rPr>
    </w:lvl>
    <w:lvl w:ilvl="3" w:tplc="1C786ED4" w:tentative="1">
      <w:start w:val="1"/>
      <w:numFmt w:val="bullet"/>
      <w:lvlText w:val="•"/>
      <w:lvlJc w:val="left"/>
      <w:pPr>
        <w:tabs>
          <w:tab w:val="num" w:pos="2880"/>
        </w:tabs>
        <w:ind w:left="2880" w:hanging="360"/>
      </w:pPr>
      <w:rPr>
        <w:rFonts w:ascii="Arial" w:hAnsi="Arial" w:hint="default"/>
      </w:rPr>
    </w:lvl>
    <w:lvl w:ilvl="4" w:tplc="291A1CFC" w:tentative="1">
      <w:start w:val="1"/>
      <w:numFmt w:val="bullet"/>
      <w:lvlText w:val="•"/>
      <w:lvlJc w:val="left"/>
      <w:pPr>
        <w:tabs>
          <w:tab w:val="num" w:pos="3600"/>
        </w:tabs>
        <w:ind w:left="3600" w:hanging="360"/>
      </w:pPr>
      <w:rPr>
        <w:rFonts w:ascii="Arial" w:hAnsi="Arial" w:hint="default"/>
      </w:rPr>
    </w:lvl>
    <w:lvl w:ilvl="5" w:tplc="5E7884B2" w:tentative="1">
      <w:start w:val="1"/>
      <w:numFmt w:val="bullet"/>
      <w:lvlText w:val="•"/>
      <w:lvlJc w:val="left"/>
      <w:pPr>
        <w:tabs>
          <w:tab w:val="num" w:pos="4320"/>
        </w:tabs>
        <w:ind w:left="4320" w:hanging="360"/>
      </w:pPr>
      <w:rPr>
        <w:rFonts w:ascii="Arial" w:hAnsi="Arial" w:hint="default"/>
      </w:rPr>
    </w:lvl>
    <w:lvl w:ilvl="6" w:tplc="44F862E2" w:tentative="1">
      <w:start w:val="1"/>
      <w:numFmt w:val="bullet"/>
      <w:lvlText w:val="•"/>
      <w:lvlJc w:val="left"/>
      <w:pPr>
        <w:tabs>
          <w:tab w:val="num" w:pos="5040"/>
        </w:tabs>
        <w:ind w:left="5040" w:hanging="360"/>
      </w:pPr>
      <w:rPr>
        <w:rFonts w:ascii="Arial" w:hAnsi="Arial" w:hint="default"/>
      </w:rPr>
    </w:lvl>
    <w:lvl w:ilvl="7" w:tplc="E41CB334" w:tentative="1">
      <w:start w:val="1"/>
      <w:numFmt w:val="bullet"/>
      <w:lvlText w:val="•"/>
      <w:lvlJc w:val="left"/>
      <w:pPr>
        <w:tabs>
          <w:tab w:val="num" w:pos="5760"/>
        </w:tabs>
        <w:ind w:left="5760" w:hanging="360"/>
      </w:pPr>
      <w:rPr>
        <w:rFonts w:ascii="Arial" w:hAnsi="Arial" w:hint="default"/>
      </w:rPr>
    </w:lvl>
    <w:lvl w:ilvl="8" w:tplc="5A0E52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26FAD"/>
    <w:multiLevelType w:val="hybridMultilevel"/>
    <w:tmpl w:val="2BCE0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91864C3"/>
    <w:multiLevelType w:val="hybridMultilevel"/>
    <w:tmpl w:val="D7F8F0F2"/>
    <w:lvl w:ilvl="0" w:tplc="E13C702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3B641C"/>
    <w:multiLevelType w:val="hybridMultilevel"/>
    <w:tmpl w:val="1908A432"/>
    <w:lvl w:ilvl="0" w:tplc="B560B652">
      <w:start w:val="1"/>
      <w:numFmt w:val="bullet"/>
      <w:lvlText w:val="-"/>
      <w:lvlJc w:val="left"/>
      <w:pPr>
        <w:ind w:left="720" w:hanging="360"/>
      </w:pPr>
      <w:rPr>
        <w:rFonts w:ascii="Garamond" w:eastAsiaTheme="minorHAnsi" w:hAnsi="Garamon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849113E"/>
    <w:multiLevelType w:val="hybridMultilevel"/>
    <w:tmpl w:val="4960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8A1680"/>
    <w:multiLevelType w:val="hybridMultilevel"/>
    <w:tmpl w:val="DC7E8F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6876B84"/>
    <w:multiLevelType w:val="hybridMultilevel"/>
    <w:tmpl w:val="BCFEDF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1AA354F"/>
    <w:multiLevelType w:val="hybridMultilevel"/>
    <w:tmpl w:val="C20E03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5305B4B"/>
    <w:multiLevelType w:val="hybridMultilevel"/>
    <w:tmpl w:val="202CBB4E"/>
    <w:lvl w:ilvl="0" w:tplc="0C09000F">
      <w:start w:val="1"/>
      <w:numFmt w:val="decimal"/>
      <w:lvlText w:val="%1."/>
      <w:lvlJc w:val="left"/>
      <w:pPr>
        <w:ind w:left="643" w:hanging="360"/>
      </w:pPr>
    </w:lvl>
    <w:lvl w:ilvl="1" w:tplc="0C090019" w:tentative="1">
      <w:start w:val="1"/>
      <w:numFmt w:val="lowerLetter"/>
      <w:lvlText w:val="%2."/>
      <w:lvlJc w:val="left"/>
      <w:pPr>
        <w:ind w:left="1363" w:hanging="360"/>
      </w:pPr>
    </w:lvl>
    <w:lvl w:ilvl="2" w:tplc="0C09001B" w:tentative="1">
      <w:start w:val="1"/>
      <w:numFmt w:val="lowerRoman"/>
      <w:lvlText w:val="%3."/>
      <w:lvlJc w:val="right"/>
      <w:pPr>
        <w:ind w:left="2083" w:hanging="180"/>
      </w:pPr>
    </w:lvl>
    <w:lvl w:ilvl="3" w:tplc="0C09000F" w:tentative="1">
      <w:start w:val="1"/>
      <w:numFmt w:val="decimal"/>
      <w:lvlText w:val="%4."/>
      <w:lvlJc w:val="left"/>
      <w:pPr>
        <w:ind w:left="2803" w:hanging="360"/>
      </w:pPr>
    </w:lvl>
    <w:lvl w:ilvl="4" w:tplc="0C090019" w:tentative="1">
      <w:start w:val="1"/>
      <w:numFmt w:val="lowerLetter"/>
      <w:lvlText w:val="%5."/>
      <w:lvlJc w:val="left"/>
      <w:pPr>
        <w:ind w:left="3523" w:hanging="360"/>
      </w:pPr>
    </w:lvl>
    <w:lvl w:ilvl="5" w:tplc="0C09001B" w:tentative="1">
      <w:start w:val="1"/>
      <w:numFmt w:val="lowerRoman"/>
      <w:lvlText w:val="%6."/>
      <w:lvlJc w:val="right"/>
      <w:pPr>
        <w:ind w:left="4243" w:hanging="180"/>
      </w:pPr>
    </w:lvl>
    <w:lvl w:ilvl="6" w:tplc="0C09000F" w:tentative="1">
      <w:start w:val="1"/>
      <w:numFmt w:val="decimal"/>
      <w:lvlText w:val="%7."/>
      <w:lvlJc w:val="left"/>
      <w:pPr>
        <w:ind w:left="4963" w:hanging="360"/>
      </w:pPr>
    </w:lvl>
    <w:lvl w:ilvl="7" w:tplc="0C090019" w:tentative="1">
      <w:start w:val="1"/>
      <w:numFmt w:val="lowerLetter"/>
      <w:lvlText w:val="%8."/>
      <w:lvlJc w:val="left"/>
      <w:pPr>
        <w:ind w:left="5683" w:hanging="360"/>
      </w:pPr>
    </w:lvl>
    <w:lvl w:ilvl="8" w:tplc="0C09001B" w:tentative="1">
      <w:start w:val="1"/>
      <w:numFmt w:val="lowerRoman"/>
      <w:lvlText w:val="%9."/>
      <w:lvlJc w:val="right"/>
      <w:pPr>
        <w:ind w:left="6403" w:hanging="180"/>
      </w:pPr>
    </w:lvl>
  </w:abstractNum>
  <w:abstractNum w:abstractNumId="9" w15:restartNumberingAfterBreak="0">
    <w:nsid w:val="59E156BD"/>
    <w:multiLevelType w:val="hybridMultilevel"/>
    <w:tmpl w:val="CF72E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23197C"/>
    <w:multiLevelType w:val="hybridMultilevel"/>
    <w:tmpl w:val="AD90D96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66FA3FD4"/>
    <w:multiLevelType w:val="hybridMultilevel"/>
    <w:tmpl w:val="C3702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E1A1A1C"/>
    <w:multiLevelType w:val="hybridMultilevel"/>
    <w:tmpl w:val="BABE82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
  </w:num>
  <w:num w:numId="3">
    <w:abstractNumId w:val="8"/>
  </w:num>
  <w:num w:numId="4">
    <w:abstractNumId w:val="4"/>
  </w:num>
  <w:num w:numId="5">
    <w:abstractNumId w:val="2"/>
  </w:num>
  <w:num w:numId="6">
    <w:abstractNumId w:val="3"/>
  </w:num>
  <w:num w:numId="7">
    <w:abstractNumId w:val="12"/>
  </w:num>
  <w:num w:numId="8">
    <w:abstractNumId w:val="9"/>
  </w:num>
  <w:num w:numId="9">
    <w:abstractNumId w:val="0"/>
  </w:num>
  <w:num w:numId="10">
    <w:abstractNumId w:val="6"/>
  </w:num>
  <w:num w:numId="11">
    <w:abstractNumId w:val="7"/>
  </w:num>
  <w:num w:numId="12">
    <w:abstractNumId w:val="5"/>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Piper (DEDJTR)">
    <w15:presenceInfo w15:providerId="AD" w15:userId="S::alexander.piper@agriculture.vic.gov.au::03115bc2-e66c-46c3-b298-a253ec774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0FD"/>
    <w:rsid w:val="00001C9C"/>
    <w:rsid w:val="00013D4D"/>
    <w:rsid w:val="00026AF5"/>
    <w:rsid w:val="000362F5"/>
    <w:rsid w:val="00042207"/>
    <w:rsid w:val="0005075D"/>
    <w:rsid w:val="000544CF"/>
    <w:rsid w:val="00065A22"/>
    <w:rsid w:val="000663D4"/>
    <w:rsid w:val="00067F09"/>
    <w:rsid w:val="00086116"/>
    <w:rsid w:val="000A05DF"/>
    <w:rsid w:val="000D4A95"/>
    <w:rsid w:val="000E0286"/>
    <w:rsid w:val="000F243D"/>
    <w:rsid w:val="001070E9"/>
    <w:rsid w:val="0011424E"/>
    <w:rsid w:val="0011741B"/>
    <w:rsid w:val="001259FD"/>
    <w:rsid w:val="00126D48"/>
    <w:rsid w:val="001321D7"/>
    <w:rsid w:val="0013295D"/>
    <w:rsid w:val="00163545"/>
    <w:rsid w:val="0016608D"/>
    <w:rsid w:val="001C0F8C"/>
    <w:rsid w:val="001C4185"/>
    <w:rsid w:val="001D1C6C"/>
    <w:rsid w:val="001D4544"/>
    <w:rsid w:val="001E0BAF"/>
    <w:rsid w:val="001E34C8"/>
    <w:rsid w:val="001E6DF2"/>
    <w:rsid w:val="001F218C"/>
    <w:rsid w:val="001F6AD2"/>
    <w:rsid w:val="00200AB7"/>
    <w:rsid w:val="002208E4"/>
    <w:rsid w:val="002279F2"/>
    <w:rsid w:val="00234E9D"/>
    <w:rsid w:val="00254128"/>
    <w:rsid w:val="0025491E"/>
    <w:rsid w:val="00264513"/>
    <w:rsid w:val="00271582"/>
    <w:rsid w:val="002834F5"/>
    <w:rsid w:val="00290934"/>
    <w:rsid w:val="0029315A"/>
    <w:rsid w:val="00294882"/>
    <w:rsid w:val="00295554"/>
    <w:rsid w:val="002961A2"/>
    <w:rsid w:val="002A26DE"/>
    <w:rsid w:val="002B52F5"/>
    <w:rsid w:val="002C342C"/>
    <w:rsid w:val="002D7DB7"/>
    <w:rsid w:val="002E63D4"/>
    <w:rsid w:val="002F5EE3"/>
    <w:rsid w:val="00305E77"/>
    <w:rsid w:val="003212B5"/>
    <w:rsid w:val="003240D2"/>
    <w:rsid w:val="00333D38"/>
    <w:rsid w:val="00336218"/>
    <w:rsid w:val="0035354C"/>
    <w:rsid w:val="00371A54"/>
    <w:rsid w:val="00373873"/>
    <w:rsid w:val="00382DBC"/>
    <w:rsid w:val="00384A47"/>
    <w:rsid w:val="00390EF4"/>
    <w:rsid w:val="00392337"/>
    <w:rsid w:val="003B1776"/>
    <w:rsid w:val="003B7D5D"/>
    <w:rsid w:val="003C24A7"/>
    <w:rsid w:val="003D1543"/>
    <w:rsid w:val="003D7EB9"/>
    <w:rsid w:val="003E22A7"/>
    <w:rsid w:val="003E30FD"/>
    <w:rsid w:val="003E7E3D"/>
    <w:rsid w:val="003F55FB"/>
    <w:rsid w:val="00400715"/>
    <w:rsid w:val="00406364"/>
    <w:rsid w:val="004100D0"/>
    <w:rsid w:val="00410732"/>
    <w:rsid w:val="00412D52"/>
    <w:rsid w:val="00415B94"/>
    <w:rsid w:val="00425C54"/>
    <w:rsid w:val="00434FBD"/>
    <w:rsid w:val="0044025F"/>
    <w:rsid w:val="0044100F"/>
    <w:rsid w:val="004457DC"/>
    <w:rsid w:val="00451BE9"/>
    <w:rsid w:val="0045614D"/>
    <w:rsid w:val="004858CD"/>
    <w:rsid w:val="0049153C"/>
    <w:rsid w:val="00491B3B"/>
    <w:rsid w:val="004960FA"/>
    <w:rsid w:val="00497A38"/>
    <w:rsid w:val="004C036A"/>
    <w:rsid w:val="004C1397"/>
    <w:rsid w:val="004C1E3D"/>
    <w:rsid w:val="004D7A8F"/>
    <w:rsid w:val="004E2B4F"/>
    <w:rsid w:val="004F28F3"/>
    <w:rsid w:val="00523660"/>
    <w:rsid w:val="005267E9"/>
    <w:rsid w:val="005355EB"/>
    <w:rsid w:val="00540665"/>
    <w:rsid w:val="00557FC7"/>
    <w:rsid w:val="00591314"/>
    <w:rsid w:val="00591671"/>
    <w:rsid w:val="00596E6D"/>
    <w:rsid w:val="005A3D78"/>
    <w:rsid w:val="005C2168"/>
    <w:rsid w:val="005C31C7"/>
    <w:rsid w:val="005D3676"/>
    <w:rsid w:val="005D39F3"/>
    <w:rsid w:val="00606A17"/>
    <w:rsid w:val="00616C4C"/>
    <w:rsid w:val="00623BB5"/>
    <w:rsid w:val="00634438"/>
    <w:rsid w:val="006407DB"/>
    <w:rsid w:val="00675226"/>
    <w:rsid w:val="00685265"/>
    <w:rsid w:val="00693476"/>
    <w:rsid w:val="00697B36"/>
    <w:rsid w:val="006A519B"/>
    <w:rsid w:val="006B31DB"/>
    <w:rsid w:val="006B4C4B"/>
    <w:rsid w:val="006B54D9"/>
    <w:rsid w:val="006C0EB4"/>
    <w:rsid w:val="006C4191"/>
    <w:rsid w:val="006C506F"/>
    <w:rsid w:val="006D522A"/>
    <w:rsid w:val="006E39D6"/>
    <w:rsid w:val="006E7619"/>
    <w:rsid w:val="006F1460"/>
    <w:rsid w:val="00717929"/>
    <w:rsid w:val="00723635"/>
    <w:rsid w:val="007244B2"/>
    <w:rsid w:val="007244E0"/>
    <w:rsid w:val="00740751"/>
    <w:rsid w:val="007460EA"/>
    <w:rsid w:val="00746D9C"/>
    <w:rsid w:val="00751ADA"/>
    <w:rsid w:val="00753A97"/>
    <w:rsid w:val="00755113"/>
    <w:rsid w:val="00760C76"/>
    <w:rsid w:val="00786BAC"/>
    <w:rsid w:val="007B73B1"/>
    <w:rsid w:val="007C1568"/>
    <w:rsid w:val="007C2A19"/>
    <w:rsid w:val="007D0B48"/>
    <w:rsid w:val="007F43BE"/>
    <w:rsid w:val="008175D5"/>
    <w:rsid w:val="00822477"/>
    <w:rsid w:val="00833927"/>
    <w:rsid w:val="0085777C"/>
    <w:rsid w:val="0086572C"/>
    <w:rsid w:val="00870A6A"/>
    <w:rsid w:val="00880568"/>
    <w:rsid w:val="00881D16"/>
    <w:rsid w:val="00884219"/>
    <w:rsid w:val="00884CFF"/>
    <w:rsid w:val="00885286"/>
    <w:rsid w:val="00886794"/>
    <w:rsid w:val="0089755C"/>
    <w:rsid w:val="008B6020"/>
    <w:rsid w:val="008C6874"/>
    <w:rsid w:val="008C6B63"/>
    <w:rsid w:val="008D200A"/>
    <w:rsid w:val="008E0B5A"/>
    <w:rsid w:val="008F4C85"/>
    <w:rsid w:val="00926A89"/>
    <w:rsid w:val="00934A24"/>
    <w:rsid w:val="0093562E"/>
    <w:rsid w:val="00936696"/>
    <w:rsid w:val="009447B6"/>
    <w:rsid w:val="00944B8B"/>
    <w:rsid w:val="0095316D"/>
    <w:rsid w:val="00955572"/>
    <w:rsid w:val="00955ABB"/>
    <w:rsid w:val="00962C08"/>
    <w:rsid w:val="00962D94"/>
    <w:rsid w:val="0097156D"/>
    <w:rsid w:val="00994125"/>
    <w:rsid w:val="00997DCC"/>
    <w:rsid w:val="009B7F25"/>
    <w:rsid w:val="009B7FF2"/>
    <w:rsid w:val="009C07D8"/>
    <w:rsid w:val="009C14C2"/>
    <w:rsid w:val="009C5D88"/>
    <w:rsid w:val="009D0923"/>
    <w:rsid w:val="009D4087"/>
    <w:rsid w:val="009E3F51"/>
    <w:rsid w:val="009E4BA4"/>
    <w:rsid w:val="009E620B"/>
    <w:rsid w:val="009F2997"/>
    <w:rsid w:val="009F390C"/>
    <w:rsid w:val="00A02AAA"/>
    <w:rsid w:val="00A04E08"/>
    <w:rsid w:val="00A07E4B"/>
    <w:rsid w:val="00A12B58"/>
    <w:rsid w:val="00A17066"/>
    <w:rsid w:val="00A31F0B"/>
    <w:rsid w:val="00A432FB"/>
    <w:rsid w:val="00A45177"/>
    <w:rsid w:val="00A459C0"/>
    <w:rsid w:val="00A51BEA"/>
    <w:rsid w:val="00A71499"/>
    <w:rsid w:val="00A84DC8"/>
    <w:rsid w:val="00A91AD2"/>
    <w:rsid w:val="00A93239"/>
    <w:rsid w:val="00AA6D02"/>
    <w:rsid w:val="00AA7302"/>
    <w:rsid w:val="00AC5FA9"/>
    <w:rsid w:val="00AD0C99"/>
    <w:rsid w:val="00AD286A"/>
    <w:rsid w:val="00AE2CC8"/>
    <w:rsid w:val="00AE7310"/>
    <w:rsid w:val="00B131B5"/>
    <w:rsid w:val="00B229DE"/>
    <w:rsid w:val="00B254A6"/>
    <w:rsid w:val="00B25585"/>
    <w:rsid w:val="00B93B10"/>
    <w:rsid w:val="00BA0E97"/>
    <w:rsid w:val="00BA4A02"/>
    <w:rsid w:val="00BA4BEA"/>
    <w:rsid w:val="00BA588C"/>
    <w:rsid w:val="00BB54F7"/>
    <w:rsid w:val="00BC1250"/>
    <w:rsid w:val="00BF24C1"/>
    <w:rsid w:val="00BF4F05"/>
    <w:rsid w:val="00C145F5"/>
    <w:rsid w:val="00C15DB6"/>
    <w:rsid w:val="00C26713"/>
    <w:rsid w:val="00C32C37"/>
    <w:rsid w:val="00C54AFA"/>
    <w:rsid w:val="00C66280"/>
    <w:rsid w:val="00C82015"/>
    <w:rsid w:val="00C87CD4"/>
    <w:rsid w:val="00CA353C"/>
    <w:rsid w:val="00CA36FA"/>
    <w:rsid w:val="00CA4711"/>
    <w:rsid w:val="00CB324B"/>
    <w:rsid w:val="00CC2E0C"/>
    <w:rsid w:val="00CC7405"/>
    <w:rsid w:val="00CD06B0"/>
    <w:rsid w:val="00CE6FC6"/>
    <w:rsid w:val="00CF10E7"/>
    <w:rsid w:val="00CF441B"/>
    <w:rsid w:val="00D05371"/>
    <w:rsid w:val="00D158D8"/>
    <w:rsid w:val="00D26940"/>
    <w:rsid w:val="00D345E6"/>
    <w:rsid w:val="00D51660"/>
    <w:rsid w:val="00DC03C3"/>
    <w:rsid w:val="00DD0B26"/>
    <w:rsid w:val="00DD6BB7"/>
    <w:rsid w:val="00DD6D78"/>
    <w:rsid w:val="00DE0840"/>
    <w:rsid w:val="00DF3C0B"/>
    <w:rsid w:val="00E056CC"/>
    <w:rsid w:val="00E178F6"/>
    <w:rsid w:val="00E325F6"/>
    <w:rsid w:val="00E33E6A"/>
    <w:rsid w:val="00E446A3"/>
    <w:rsid w:val="00E46356"/>
    <w:rsid w:val="00E54E13"/>
    <w:rsid w:val="00E564FD"/>
    <w:rsid w:val="00E61A66"/>
    <w:rsid w:val="00E65266"/>
    <w:rsid w:val="00E71D5D"/>
    <w:rsid w:val="00E75388"/>
    <w:rsid w:val="00E76830"/>
    <w:rsid w:val="00E7748E"/>
    <w:rsid w:val="00EF043C"/>
    <w:rsid w:val="00EF44F7"/>
    <w:rsid w:val="00F025E6"/>
    <w:rsid w:val="00F11C83"/>
    <w:rsid w:val="00F13B35"/>
    <w:rsid w:val="00F1672D"/>
    <w:rsid w:val="00F16C1F"/>
    <w:rsid w:val="00F26BE8"/>
    <w:rsid w:val="00F42300"/>
    <w:rsid w:val="00F50D17"/>
    <w:rsid w:val="00F522FD"/>
    <w:rsid w:val="00F5714D"/>
    <w:rsid w:val="00F662C9"/>
    <w:rsid w:val="00F742A7"/>
    <w:rsid w:val="00F81B3D"/>
    <w:rsid w:val="00FA3638"/>
    <w:rsid w:val="00FA5BD2"/>
    <w:rsid w:val="00FB182B"/>
    <w:rsid w:val="00FB496F"/>
    <w:rsid w:val="00FD20BC"/>
    <w:rsid w:val="00FD26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2D73D"/>
  <w15:chartTrackingRefBased/>
  <w15:docId w15:val="{7394B5CE-13A3-47DA-B3E2-3A5708FE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F522FD"/>
    <w:pPr>
      <w:spacing w:after="200" w:line="480" w:lineRule="auto"/>
    </w:pPr>
    <w:rPr>
      <w:rFonts w:ascii="Garamond" w:hAnsi="Garamond"/>
      <w:sz w:val="24"/>
    </w:rPr>
  </w:style>
  <w:style w:type="paragraph" w:styleId="Heading1">
    <w:name w:val="heading 1"/>
    <w:basedOn w:val="Normal"/>
    <w:next w:val="Normal"/>
    <w:link w:val="Heading1Char"/>
    <w:uiPriority w:val="9"/>
    <w:qFormat/>
    <w:rsid w:val="00F522FD"/>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3F55FB"/>
    <w:pPr>
      <w:keepNext/>
      <w:keepLines/>
      <w:spacing w:before="40" w:after="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CB324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C2E0C"/>
    <w:pPr>
      <w:ind w:left="720"/>
      <w:contextualSpacing/>
    </w:pPr>
  </w:style>
  <w:style w:type="character" w:styleId="Hyperlink">
    <w:name w:val="Hyperlink"/>
    <w:basedOn w:val="DefaultParagraphFont"/>
    <w:uiPriority w:val="99"/>
    <w:unhideWhenUsed/>
    <w:rsid w:val="00CC2E0C"/>
    <w:rPr>
      <w:color w:val="0000FF"/>
      <w:u w:val="single"/>
    </w:rPr>
  </w:style>
  <w:style w:type="character" w:customStyle="1" w:styleId="UnresolvedMention1">
    <w:name w:val="Unresolved Mention1"/>
    <w:basedOn w:val="DefaultParagraphFont"/>
    <w:uiPriority w:val="99"/>
    <w:semiHidden/>
    <w:unhideWhenUsed/>
    <w:rsid w:val="00DC03C3"/>
    <w:rPr>
      <w:color w:val="808080"/>
      <w:shd w:val="clear" w:color="auto" w:fill="E6E6E6"/>
    </w:rPr>
  </w:style>
  <w:style w:type="paragraph" w:styleId="Caption">
    <w:name w:val="caption"/>
    <w:basedOn w:val="Normal"/>
    <w:next w:val="Normal"/>
    <w:uiPriority w:val="35"/>
    <w:unhideWhenUsed/>
    <w:qFormat/>
    <w:rsid w:val="00634438"/>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26713"/>
    <w:rPr>
      <w:color w:val="954F72" w:themeColor="followedHyperlink"/>
      <w:u w:val="single"/>
    </w:rPr>
  </w:style>
  <w:style w:type="character" w:styleId="CommentReference">
    <w:name w:val="annotation reference"/>
    <w:basedOn w:val="DefaultParagraphFont"/>
    <w:uiPriority w:val="99"/>
    <w:semiHidden/>
    <w:unhideWhenUsed/>
    <w:rsid w:val="0044025F"/>
    <w:rPr>
      <w:sz w:val="16"/>
      <w:szCs w:val="16"/>
    </w:rPr>
  </w:style>
  <w:style w:type="paragraph" w:styleId="CommentText">
    <w:name w:val="annotation text"/>
    <w:basedOn w:val="Normal"/>
    <w:link w:val="CommentTextChar"/>
    <w:uiPriority w:val="99"/>
    <w:unhideWhenUsed/>
    <w:rsid w:val="0044025F"/>
    <w:pPr>
      <w:spacing w:line="240" w:lineRule="auto"/>
    </w:pPr>
    <w:rPr>
      <w:sz w:val="20"/>
      <w:szCs w:val="20"/>
    </w:rPr>
  </w:style>
  <w:style w:type="character" w:customStyle="1" w:styleId="CommentTextChar">
    <w:name w:val="Comment Text Char"/>
    <w:basedOn w:val="DefaultParagraphFont"/>
    <w:link w:val="CommentText"/>
    <w:uiPriority w:val="99"/>
    <w:rsid w:val="0044025F"/>
    <w:rPr>
      <w:sz w:val="20"/>
      <w:szCs w:val="20"/>
    </w:rPr>
  </w:style>
  <w:style w:type="paragraph" w:styleId="CommentSubject">
    <w:name w:val="annotation subject"/>
    <w:basedOn w:val="CommentText"/>
    <w:next w:val="CommentText"/>
    <w:link w:val="CommentSubjectChar"/>
    <w:uiPriority w:val="99"/>
    <w:semiHidden/>
    <w:unhideWhenUsed/>
    <w:rsid w:val="0044025F"/>
    <w:rPr>
      <w:b/>
      <w:bCs/>
    </w:rPr>
  </w:style>
  <w:style w:type="character" w:customStyle="1" w:styleId="CommentSubjectChar">
    <w:name w:val="Comment Subject Char"/>
    <w:basedOn w:val="CommentTextChar"/>
    <w:link w:val="CommentSubject"/>
    <w:uiPriority w:val="99"/>
    <w:semiHidden/>
    <w:rsid w:val="0044025F"/>
    <w:rPr>
      <w:b/>
      <w:bCs/>
      <w:sz w:val="20"/>
      <w:szCs w:val="20"/>
    </w:rPr>
  </w:style>
  <w:style w:type="paragraph" w:styleId="BalloonText">
    <w:name w:val="Balloon Text"/>
    <w:basedOn w:val="Normal"/>
    <w:link w:val="BalloonTextChar"/>
    <w:uiPriority w:val="99"/>
    <w:semiHidden/>
    <w:unhideWhenUsed/>
    <w:rsid w:val="00440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25F"/>
    <w:rPr>
      <w:rFonts w:ascii="Segoe UI" w:hAnsi="Segoe UI" w:cs="Segoe UI"/>
      <w:sz w:val="18"/>
      <w:szCs w:val="18"/>
    </w:rPr>
  </w:style>
  <w:style w:type="character" w:customStyle="1" w:styleId="Heading1Char">
    <w:name w:val="Heading 1 Char"/>
    <w:basedOn w:val="DefaultParagraphFont"/>
    <w:link w:val="Heading1"/>
    <w:uiPriority w:val="9"/>
    <w:rsid w:val="00F522FD"/>
    <w:rPr>
      <w:rFonts w:ascii="Garamond" w:eastAsiaTheme="majorEastAsia" w:hAnsi="Garamond" w:cstheme="majorBidi"/>
      <w:color w:val="000000" w:themeColor="text1"/>
      <w:sz w:val="32"/>
      <w:szCs w:val="32"/>
    </w:rPr>
  </w:style>
  <w:style w:type="character" w:customStyle="1" w:styleId="Heading2Char">
    <w:name w:val="Heading 2 Char"/>
    <w:basedOn w:val="DefaultParagraphFont"/>
    <w:link w:val="Heading2"/>
    <w:uiPriority w:val="9"/>
    <w:rsid w:val="003F55FB"/>
    <w:rPr>
      <w:rFonts w:ascii="Garamond" w:eastAsiaTheme="majorEastAsia" w:hAnsi="Garamond" w:cstheme="majorBidi"/>
      <w:i/>
      <w:color w:val="000000" w:themeColor="text1"/>
      <w:sz w:val="26"/>
      <w:szCs w:val="26"/>
    </w:rPr>
  </w:style>
  <w:style w:type="character" w:styleId="UnresolvedMention">
    <w:name w:val="Unresolved Mention"/>
    <w:basedOn w:val="DefaultParagraphFont"/>
    <w:uiPriority w:val="99"/>
    <w:rsid w:val="002A26DE"/>
    <w:rPr>
      <w:color w:val="605E5C"/>
      <w:shd w:val="clear" w:color="auto" w:fill="E1DFDD"/>
    </w:rPr>
  </w:style>
  <w:style w:type="character" w:styleId="Emphasis">
    <w:name w:val="Emphasis"/>
    <w:basedOn w:val="DefaultParagraphFont"/>
    <w:uiPriority w:val="20"/>
    <w:qFormat/>
    <w:rsid w:val="002A26DE"/>
    <w:rPr>
      <w:i/>
      <w:iCs/>
    </w:rPr>
  </w:style>
  <w:style w:type="table" w:styleId="TableGrid">
    <w:name w:val="Table Grid"/>
    <w:basedOn w:val="TableNormal"/>
    <w:uiPriority w:val="39"/>
    <w:rsid w:val="00E0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rrent-selection">
    <w:name w:val="current-selection"/>
    <w:basedOn w:val="DefaultParagraphFont"/>
    <w:rsid w:val="007D0B48"/>
  </w:style>
  <w:style w:type="paragraph" w:styleId="NoSpacing">
    <w:name w:val="No Spacing"/>
    <w:uiPriority w:val="1"/>
    <w:qFormat/>
    <w:rsid w:val="001F6AD2"/>
    <w:pPr>
      <w:spacing w:after="0" w:line="240" w:lineRule="auto"/>
    </w:pPr>
    <w:rPr>
      <w:rFonts w:ascii="Garamond" w:hAnsi="Garamond"/>
      <w:sz w:val="24"/>
    </w:rPr>
  </w:style>
  <w:style w:type="character" w:customStyle="1" w:styleId="Heading3Char">
    <w:name w:val="Heading 3 Char"/>
    <w:basedOn w:val="DefaultParagraphFont"/>
    <w:link w:val="Heading3"/>
    <w:uiPriority w:val="9"/>
    <w:rsid w:val="00CB324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0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AB7"/>
    <w:rPr>
      <w:rFonts w:ascii="Garamond" w:hAnsi="Garamond"/>
      <w:sz w:val="24"/>
    </w:rPr>
  </w:style>
  <w:style w:type="paragraph" w:styleId="Footer">
    <w:name w:val="footer"/>
    <w:basedOn w:val="Normal"/>
    <w:link w:val="FooterChar"/>
    <w:uiPriority w:val="99"/>
    <w:unhideWhenUsed/>
    <w:rsid w:val="00200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AB7"/>
    <w:rPr>
      <w:rFonts w:ascii="Garamond" w:hAnsi="Garamond"/>
      <w:sz w:val="24"/>
    </w:rPr>
  </w:style>
  <w:style w:type="character" w:customStyle="1" w:styleId="author">
    <w:name w:val="author"/>
    <w:basedOn w:val="DefaultParagraphFont"/>
    <w:rsid w:val="00126D48"/>
  </w:style>
  <w:style w:type="character" w:customStyle="1" w:styleId="articletitle">
    <w:name w:val="articletitle"/>
    <w:basedOn w:val="DefaultParagraphFont"/>
    <w:rsid w:val="00126D48"/>
  </w:style>
  <w:style w:type="character" w:customStyle="1" w:styleId="pubyear">
    <w:name w:val="pubyear"/>
    <w:basedOn w:val="DefaultParagraphFont"/>
    <w:rsid w:val="00126D48"/>
  </w:style>
  <w:style w:type="character" w:customStyle="1" w:styleId="vol">
    <w:name w:val="vol"/>
    <w:basedOn w:val="DefaultParagraphFont"/>
    <w:rsid w:val="00126D48"/>
  </w:style>
  <w:style w:type="character" w:customStyle="1" w:styleId="pagefirst">
    <w:name w:val="pagefirst"/>
    <w:basedOn w:val="DefaultParagraphFont"/>
    <w:rsid w:val="00126D48"/>
  </w:style>
  <w:style w:type="character" w:customStyle="1" w:styleId="pagelast">
    <w:name w:val="pagelast"/>
    <w:basedOn w:val="DefaultParagraphFont"/>
    <w:rsid w:val="00126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405564">
      <w:bodyDiv w:val="1"/>
      <w:marLeft w:val="0"/>
      <w:marRight w:val="0"/>
      <w:marTop w:val="0"/>
      <w:marBottom w:val="0"/>
      <w:divBdr>
        <w:top w:val="none" w:sz="0" w:space="0" w:color="auto"/>
        <w:left w:val="none" w:sz="0" w:space="0" w:color="auto"/>
        <w:bottom w:val="none" w:sz="0" w:space="0" w:color="auto"/>
        <w:right w:val="none" w:sz="0" w:space="0" w:color="auto"/>
      </w:divBdr>
      <w:divsChild>
        <w:div w:id="547497621">
          <w:marLeft w:val="360"/>
          <w:marRight w:val="0"/>
          <w:marTop w:val="200"/>
          <w:marBottom w:val="0"/>
          <w:divBdr>
            <w:top w:val="none" w:sz="0" w:space="0" w:color="auto"/>
            <w:left w:val="none" w:sz="0" w:space="0" w:color="auto"/>
            <w:bottom w:val="none" w:sz="0" w:space="0" w:color="auto"/>
            <w:right w:val="none" w:sz="0" w:space="0" w:color="auto"/>
          </w:divBdr>
        </w:div>
      </w:divsChild>
    </w:div>
    <w:div w:id="1202598678">
      <w:bodyDiv w:val="1"/>
      <w:marLeft w:val="0"/>
      <w:marRight w:val="0"/>
      <w:marTop w:val="0"/>
      <w:marBottom w:val="0"/>
      <w:divBdr>
        <w:top w:val="none" w:sz="0" w:space="0" w:color="auto"/>
        <w:left w:val="none" w:sz="0" w:space="0" w:color="auto"/>
        <w:bottom w:val="none" w:sz="0" w:space="0" w:color="auto"/>
        <w:right w:val="none" w:sz="0" w:space="0" w:color="auto"/>
      </w:divBdr>
    </w:div>
    <w:div w:id="1232229858">
      <w:bodyDiv w:val="1"/>
      <w:marLeft w:val="0"/>
      <w:marRight w:val="0"/>
      <w:marTop w:val="0"/>
      <w:marBottom w:val="0"/>
      <w:divBdr>
        <w:top w:val="none" w:sz="0" w:space="0" w:color="auto"/>
        <w:left w:val="none" w:sz="0" w:space="0" w:color="auto"/>
        <w:bottom w:val="none" w:sz="0" w:space="0" w:color="auto"/>
        <w:right w:val="none" w:sz="0" w:space="0" w:color="auto"/>
      </w:divBdr>
    </w:div>
    <w:div w:id="1310285544">
      <w:bodyDiv w:val="1"/>
      <w:marLeft w:val="0"/>
      <w:marRight w:val="0"/>
      <w:marTop w:val="0"/>
      <w:marBottom w:val="0"/>
      <w:divBdr>
        <w:top w:val="none" w:sz="0" w:space="0" w:color="auto"/>
        <w:left w:val="none" w:sz="0" w:space="0" w:color="auto"/>
        <w:bottom w:val="none" w:sz="0" w:space="0" w:color="auto"/>
        <w:right w:val="none" w:sz="0" w:space="0" w:color="auto"/>
      </w:divBdr>
    </w:div>
    <w:div w:id="1496603473">
      <w:bodyDiv w:val="1"/>
      <w:marLeft w:val="0"/>
      <w:marRight w:val="0"/>
      <w:marTop w:val="0"/>
      <w:marBottom w:val="0"/>
      <w:divBdr>
        <w:top w:val="none" w:sz="0" w:space="0" w:color="auto"/>
        <w:left w:val="none" w:sz="0" w:space="0" w:color="auto"/>
        <w:bottom w:val="none" w:sz="0" w:space="0" w:color="auto"/>
        <w:right w:val="none" w:sz="0" w:space="0" w:color="auto"/>
      </w:divBdr>
    </w:div>
    <w:div w:id="1591692685">
      <w:bodyDiv w:val="1"/>
      <w:marLeft w:val="0"/>
      <w:marRight w:val="0"/>
      <w:marTop w:val="0"/>
      <w:marBottom w:val="0"/>
      <w:divBdr>
        <w:top w:val="none" w:sz="0" w:space="0" w:color="auto"/>
        <w:left w:val="none" w:sz="0" w:space="0" w:color="auto"/>
        <w:bottom w:val="none" w:sz="0" w:space="0" w:color="auto"/>
        <w:right w:val="none" w:sz="0" w:space="0" w:color="auto"/>
      </w:divBdr>
    </w:div>
    <w:div w:id="189222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alexpiper/taxretur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expiper/Drosophila_metabarcodin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exander.piper@agriculture.vic.gov.au"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E6818-B407-46EC-BEBB-02850568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10910</TotalTime>
  <Pages>20</Pages>
  <Words>14476</Words>
  <Characters>82515</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Piper (DEDJTR)</dc:creator>
  <cp:keywords/>
  <dc:description/>
  <cp:lastModifiedBy>Alexander Piper (DEDJTR)</cp:lastModifiedBy>
  <cp:revision>35</cp:revision>
  <cp:lastPrinted>2019-08-01T03:03:00Z</cp:lastPrinted>
  <dcterms:created xsi:type="dcterms:W3CDTF">2019-11-01T03:14:00Z</dcterms:created>
  <dcterms:modified xsi:type="dcterms:W3CDTF">2020-02-25T03:12:00Z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http://www.zotero.org/styles/gigascience</vt:lpwstr>
  </property>
  <property fmtid="{D5CDD505-2E9C-101B-9397-08002B2CF9AE}" pid="7" name="Mendeley Recent Style Name 2_1">
    <vt:lpwstr>GigaScience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http://www.zotero.org/styles/methods-in-ecology-and-evolution</vt:lpwstr>
  </property>
  <property fmtid="{D5CDD505-2E9C-101B-9397-08002B2CF9AE}" pid="11" name="Mendeley Recent Style Name 4_1">
    <vt:lpwstr>Methods in Ecology and 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http://www.zotero.org/styles/national-library-of-medicine</vt:lpwstr>
  </property>
  <property fmtid="{D5CDD505-2E9C-101B-9397-08002B2CF9AE}" pid="19" name="Mendeley Recent Style Name 8_1">
    <vt:lpwstr>National Library of Medicine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c37c3ecb-94c0-38fb-8a9c-f34cd9d9fe1b</vt:lpwstr>
  </property>
  <property fmtid="{D5CDD505-2E9C-101B-9397-08002B2CF9AE}" pid="24" name="Mendeley Citation Style_1">
    <vt:lpwstr>http://www.zotero.org/styles/methods-in-ecology-and-evolution</vt:lpwstr>
  </property>
</Properties>
</file>