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r w:rsidR="00192AA6" w:rsidRPr="00566BEE">
        <w:t xml:space="preserve">Tech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4FA9003B"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xml:space="preserve">, jQuery, Google Earth, Microsoft Virtual Earth, PL SQL, DTS, ADO.NET, IIS, VB.NET, VB6, UML, Visio, SharePoint, </w:t>
      </w:r>
      <w:r w:rsidR="000F463C" w:rsidRPr="000F463C">
        <w:rPr>
          <w:rFonts w:ascii="Franklin Gothic Book" w:hAnsi="Franklin Gothic Book" w:cs="FranklinGothicURW-Boo"/>
          <w:b w:val="0"/>
          <w:bCs w:val="0"/>
          <w:color w:val="auto"/>
          <w:sz w:val="20"/>
          <w:szCs w:val="20"/>
        </w:rPr>
        <w:t xml:space="preserve">TDD, </w:t>
      </w:r>
      <w:r w:rsidR="000F463C">
        <w:rPr>
          <w:rFonts w:ascii="Franklin Gothic Book" w:hAnsi="Franklin Gothic Book" w:cs="FranklinGothicURW-Boo"/>
          <w:b w:val="0"/>
          <w:bCs w:val="0"/>
          <w:color w:val="auto"/>
          <w:sz w:val="20"/>
          <w:szCs w:val="20"/>
        </w:rPr>
        <w:t xml:space="preserve">DDD, </w:t>
      </w:r>
      <w:r w:rsidR="000F463C" w:rsidRPr="000F463C">
        <w:rPr>
          <w:rFonts w:ascii="Franklin Gothic Book" w:hAnsi="Franklin Gothic Book" w:cs="FranklinGothicURW-Boo"/>
          <w:b w:val="0"/>
          <w:bCs w:val="0"/>
          <w:color w:val="auto"/>
          <w:sz w:val="20"/>
          <w:szCs w:val="20"/>
        </w:rPr>
        <w:t xml:space="preserve">TPL, </w:t>
      </w:r>
      <w:r>
        <w:rPr>
          <w:rFonts w:ascii="Franklin Gothic Book" w:hAnsi="Franklin Gothic Book" w:cs="FranklinGothicURW-Boo"/>
          <w:b w:val="0"/>
          <w:bCs w:val="0"/>
          <w:color w:val="auto"/>
          <w:sz w:val="20"/>
          <w:szCs w:val="20"/>
        </w:rPr>
        <w:t>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for my innovative approach in designing a one-click symmetrical permission editor, as well as for enhancing the user experience of widely-used in-house applications</w:t>
      </w:r>
      <w:r w:rsidRPr="00192AA6">
        <w:rPr>
          <w:rFonts w:ascii="Franklin Gothic Book" w:eastAsia="Calibri" w:hAnsi="Franklin Gothic Book" w:cs="Times New Roman"/>
          <w:sz w:val="20"/>
          <w:szCs w:val="20"/>
        </w:rPr>
        <w:t>.</w:t>
      </w:r>
    </w:p>
    <w:p w14:paraId="5C02A649" w14:textId="1EA8A14A"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for hosting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390606E0"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w:t>
      </w:r>
      <w:r w:rsidR="000F463C">
        <w:rPr>
          <w:rFonts w:ascii="Franklin Gothic Book" w:eastAsia="Calibri" w:hAnsi="Franklin Gothic Book" w:cs="Times New Roman"/>
          <w:sz w:val="20"/>
          <w:szCs w:val="20"/>
        </w:rPr>
        <w:t xml:space="preserve">TDD, TPL, </w:t>
      </w:r>
      <w:r w:rsidR="004241DD" w:rsidRPr="00192AA6">
        <w:rPr>
          <w:rFonts w:ascii="Franklin Gothic Book" w:eastAsia="Calibri" w:hAnsi="Franklin Gothic Book" w:cs="Times New Roman"/>
          <w:sz w:val="20"/>
          <w:szCs w:val="20"/>
        </w:rPr>
        <w:t>UWP, Angular</w:t>
      </w:r>
      <w:r w:rsidR="007955BD">
        <w:rPr>
          <w:rFonts w:ascii="Franklin Gothic Book" w:eastAsia="Calibri" w:hAnsi="Franklin Gothic Book" w:cs="Times New Roman"/>
          <w:sz w:val="20"/>
          <w:szCs w:val="20"/>
        </w:rPr>
        <w:t xml:space="preserve"> 16</w:t>
      </w:r>
      <w:r w:rsidR="004241DD" w:rsidRPr="00192AA6">
        <w:rPr>
          <w:rFonts w:ascii="Franklin Gothic Book" w:eastAsia="Calibri" w:hAnsi="Franklin Gothic Book" w:cs="Times New Roman"/>
          <w:sz w:val="20"/>
          <w:szCs w:val="20"/>
        </w:rPr>
        <w:t xml:space="preserve">,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XML</w:t>
      </w:r>
      <w:r w:rsidR="000F463C">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 xml:space="preserve">XSLT, </w:t>
      </w:r>
      <w:r w:rsidR="000F463C">
        <w:rPr>
          <w:rFonts w:ascii="Franklin Gothic Book" w:eastAsia="Calibri" w:hAnsi="Franklin Gothic Book" w:cs="Times New Roman"/>
          <w:sz w:val="20"/>
          <w:szCs w:val="20"/>
        </w:rPr>
        <w:t xml:space="preserve">MS </w:t>
      </w:r>
      <w:r w:rsidR="004241DD" w:rsidRPr="00192AA6">
        <w:rPr>
          <w:rFonts w:ascii="Franklin Gothic Book" w:eastAsia="Calibri" w:hAnsi="Franklin Gothic Book" w:cs="Times New Roman"/>
          <w:sz w:val="20"/>
          <w:szCs w:val="20"/>
        </w:rPr>
        <w:t xml:space="preserve">SQL, </w:t>
      </w:r>
      <w:r w:rsidR="00E737B3">
        <w:rPr>
          <w:rFonts w:ascii="Franklin Gothic Book" w:eastAsia="Calibri" w:hAnsi="Franklin Gothic Book" w:cs="Times New Roman"/>
          <w:sz w:val="20"/>
          <w:szCs w:val="20"/>
        </w:rPr>
        <w:t>EF</w:t>
      </w:r>
      <w:r w:rsidR="000F463C">
        <w:rPr>
          <w:rFonts w:ascii="Franklin Gothic Book" w:eastAsia="Calibri" w:hAnsi="Franklin Gothic Book" w:cs="Times New Roman"/>
          <w:sz w:val="20"/>
          <w:szCs w:val="20"/>
        </w:rPr>
        <w:t xml:space="preserve"> Core</w:t>
      </w:r>
      <w:r w:rsidR="000F463C" w:rsidRPr="000F463C">
        <w:rPr>
          <w:rFonts w:ascii="Franklin Gothic Book" w:eastAsia="Calibri" w:hAnsi="Franklin Gothic Book" w:cs="Times New Roman"/>
          <w:sz w:val="20"/>
          <w:szCs w:val="20"/>
        </w:rPr>
        <w:t>, ETL</w:t>
      </w:r>
      <w:r w:rsidR="00E737B3">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lastRenderedPageBreak/>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499110BB"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 xml:space="preserve">WPF/XAML, .NET 6.0, C#, </w:t>
      </w:r>
      <w:r w:rsidR="000F463C" w:rsidRPr="000F463C">
        <w:rPr>
          <w:rFonts w:ascii="Franklin Gothic Book" w:eastAsia="Calibri" w:hAnsi="Franklin Gothic Book" w:cs="Times New Roman"/>
          <w:sz w:val="20"/>
          <w:szCs w:val="20"/>
        </w:rPr>
        <w:t xml:space="preserve">TDD, </w:t>
      </w:r>
      <w:r w:rsidR="000F463C">
        <w:rPr>
          <w:rFonts w:ascii="Franklin Gothic Book" w:eastAsia="Calibri" w:hAnsi="Franklin Gothic Book" w:cs="Times New Roman"/>
          <w:sz w:val="20"/>
          <w:szCs w:val="20"/>
        </w:rPr>
        <w:t xml:space="preserve">DDD, </w:t>
      </w:r>
      <w:r w:rsidR="000F463C" w:rsidRPr="000F463C">
        <w:rPr>
          <w:rFonts w:ascii="Franklin Gothic Book" w:eastAsia="Calibri" w:hAnsi="Franklin Gothic Book" w:cs="Times New Roman"/>
          <w:sz w:val="20"/>
          <w:szCs w:val="20"/>
        </w:rPr>
        <w:t xml:space="preserve">TPL, </w:t>
      </w:r>
      <w:r w:rsidR="00AD0D07" w:rsidRPr="00192AA6">
        <w:rPr>
          <w:rFonts w:ascii="Franklin Gothic Book" w:eastAsia="Calibri" w:hAnsi="Franklin Gothic Book" w:cs="Times New Roman"/>
          <w:sz w:val="20"/>
          <w:szCs w:val="20"/>
        </w:rPr>
        <w:t>Java, MS SQL</w:t>
      </w:r>
      <w:r w:rsidR="00E737B3" w:rsidRPr="00E737B3">
        <w:rPr>
          <w:rFonts w:ascii="Franklin Gothic Book" w:eastAsia="Calibri" w:hAnsi="Franklin Gothic Book" w:cs="Times New Roman"/>
          <w:sz w:val="20"/>
          <w:szCs w:val="20"/>
        </w:rPr>
        <w:t>, EF</w:t>
      </w:r>
      <w:r w:rsidR="00860A13">
        <w:rPr>
          <w:rFonts w:ascii="Franklin Gothic Book" w:eastAsia="Calibri" w:hAnsi="Franklin Gothic Book" w:cs="Times New Roman"/>
          <w:sz w:val="20"/>
          <w:szCs w:val="20"/>
        </w:rPr>
        <w:t xml:space="preserve"> Core</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6BC39BF8"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t>
      </w:r>
      <w:r w:rsidR="000F463C" w:rsidRPr="000F463C">
        <w:rPr>
          <w:rFonts w:ascii="Franklin Gothic Book" w:eastAsia="Calibri" w:hAnsi="Franklin Gothic Book" w:cs="Times New Roman"/>
          <w:sz w:val="20"/>
          <w:szCs w:val="20"/>
        </w:rPr>
        <w:t xml:space="preserve">TDD, TPL, </w:t>
      </w:r>
      <w:r w:rsidR="00AD0D07" w:rsidRPr="009F3B3B">
        <w:rPr>
          <w:rFonts w:ascii="Franklin Gothic Book" w:eastAsia="Calibri" w:hAnsi="Franklin Gothic Book" w:cs="Times New Roman"/>
          <w:sz w:val="20"/>
          <w:szCs w:val="20"/>
        </w:rPr>
        <w:t xml:space="preserve">WCP, C#, MS </w:t>
      </w:r>
      <w:r w:rsidR="00E737B3" w:rsidRPr="00E737B3">
        <w:rPr>
          <w:rFonts w:ascii="Franklin Gothic Book" w:eastAsia="Calibri" w:hAnsi="Franklin Gothic Book" w:cs="Times New Roman"/>
          <w:sz w:val="20"/>
          <w:szCs w:val="20"/>
        </w:rPr>
        <w:t>SQL, EF</w:t>
      </w:r>
      <w:r w:rsidR="00860A13">
        <w:rPr>
          <w:rFonts w:ascii="Franklin Gothic Book" w:eastAsia="Calibri" w:hAnsi="Franklin Gothic Book" w:cs="Times New Roman"/>
          <w:sz w:val="20"/>
          <w:szCs w:val="20"/>
        </w:rPr>
        <w:t xml:space="preserve"> Core</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r>
        <w:t>Improved MoveSnap</w:t>
      </w:r>
      <w:r w:rsidR="00DC3362">
        <w:t>’</w:t>
      </w:r>
      <w:r>
        <w:t xml:space="preserve">s backend by designing and adding the relevant CRUD RESTful API end points.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1E5B01E8"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w:t>
      </w:r>
      <w:r w:rsidR="000F463C">
        <w:rPr>
          <w:rFonts w:ascii="Franklin Gothic Book" w:hAnsi="Franklin Gothic Book"/>
          <w:sz w:val="20"/>
          <w:szCs w:val="20"/>
        </w:rPr>
        <w:t>D</w:t>
      </w:r>
      <w:r w:rsidR="000F463C" w:rsidRPr="000F463C">
        <w:rPr>
          <w:rFonts w:ascii="Franklin Gothic Book" w:hAnsi="Franklin Gothic Book"/>
          <w:sz w:val="20"/>
          <w:szCs w:val="20"/>
        </w:rPr>
        <w:t xml:space="preserve">DD, TPL, </w:t>
      </w:r>
      <w:r w:rsidR="00D95D5A" w:rsidRPr="00D95D5A">
        <w:rPr>
          <w:rFonts w:ascii="Franklin Gothic Book" w:hAnsi="Franklin Gothic Book"/>
          <w:sz w:val="20"/>
          <w:szCs w:val="20"/>
        </w:rPr>
        <w:t>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Prototyped, implemented, and brought to production multiple mobile, desktop and web apps (WPF, UWP, PWA, ASP.NET MVC and Angular, etc.) and services (RESTful API) representing the user-facing functionality for managing all aspects of the company’s unique always-on-authentication devices.</w:t>
      </w:r>
    </w:p>
    <w:p w14:paraId="0C02C5D6" w14:textId="374288CE" w:rsidR="00484944" w:rsidRDefault="006C75C1" w:rsidP="000F463C">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w:t>
      </w:r>
      <w:r w:rsidR="000F463C" w:rsidRPr="000F463C">
        <w:t xml:space="preserve">TDD, </w:t>
      </w:r>
      <w:r w:rsidR="000F463C">
        <w:t xml:space="preserve">DDD, </w:t>
      </w:r>
      <w:r w:rsidR="000F463C" w:rsidRPr="000F463C">
        <w:t xml:space="preserve">TPL, </w:t>
      </w:r>
      <w:r w:rsidR="00D95D5A" w:rsidRPr="00DC3362">
        <w:t xml:space="preserve">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r w:rsidR="00484944">
        <w:rPr>
          <w:rFonts w:eastAsia="Calibri" w:cs="Times New Roman"/>
        </w:rPr>
        <w:br w:type="page"/>
      </w:r>
    </w:p>
    <w:p w14:paraId="3B922D25" w14:textId="3C961C0A"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lastRenderedPageBreak/>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w:t>
      </w:r>
      <w:r w:rsidR="003B326A">
        <w:rPr>
          <w:rFonts w:ascii="Franklin Gothic Book" w:eastAsia="Times New Roman" w:hAnsi="Franklin Gothic Book" w:cs="Times New Roman"/>
          <w:bCs/>
          <w:i/>
          <w:iCs/>
          <w:color w:val="808080" w:themeColor="background1" w:themeShade="80"/>
          <w:sz w:val="20"/>
          <w:szCs w:val="20"/>
        </w:rPr>
        <w:t>s</w:t>
      </w:r>
      <w:r w:rsidR="00262B3C" w:rsidRPr="00F65B29">
        <w:rPr>
          <w:rFonts w:ascii="Franklin Gothic Book" w:eastAsia="Times New Roman" w:hAnsi="Franklin Gothic Book" w:cs="Times New Roman"/>
          <w:bCs/>
          <w:i/>
          <w:iCs/>
          <w:color w:val="808080" w:themeColor="background1" w:themeShade="80"/>
          <w:sz w:val="20"/>
          <w:szCs w:val="20"/>
        </w:rPr>
        <w:t xml:space="preserve"> on the left to s</w:t>
      </w:r>
      <w:r w:rsidR="003B326A">
        <w:rPr>
          <w:rFonts w:ascii="Franklin Gothic Book" w:eastAsia="Times New Roman" w:hAnsi="Franklin Gothic Book" w:cs="Times New Roman"/>
          <w:bCs/>
          <w:i/>
          <w:iCs/>
          <w:color w:val="808080" w:themeColor="background1" w:themeShade="80"/>
          <w:sz w:val="20"/>
          <w:szCs w:val="20"/>
        </w:rPr>
        <w:t>how/hide</w:t>
      </w:r>
      <w:r w:rsidR="00262B3C" w:rsidRPr="00F65B29">
        <w:rPr>
          <w:rFonts w:ascii="Franklin Gothic Book" w:eastAsia="Times New Roman" w:hAnsi="Franklin Gothic Book" w:cs="Times New Roman"/>
          <w:bCs/>
          <w:i/>
          <w:iCs/>
          <w:color w:val="808080" w:themeColor="background1" w:themeShade="80"/>
          <w:sz w:val="20"/>
          <w:szCs w:val="20"/>
        </w:rPr>
        <w:t xml:space="preserve"> more information.</w:t>
      </w:r>
    </w:p>
    <w:p w14:paraId="39818498" w14:textId="3FE6AE53" w:rsidR="00262B3C" w:rsidRPr="005A73F3" w:rsidRDefault="00786965" w:rsidP="00786965">
      <w:pPr>
        <w:tabs>
          <w:tab w:val="left" w:pos="1980"/>
          <w:tab w:val="left" w:pos="2880"/>
          <w:tab w:val="left" w:pos="5760"/>
        </w:tabs>
        <w:spacing w:after="60"/>
        <w:jc w:val="center"/>
        <w:rPr>
          <w:rFonts w:ascii="Franklin Gothic Book" w:eastAsia="Calibri" w:hAnsi="Franklin Gothic Book" w:cs="Times New Roman"/>
          <w:i/>
          <w:iCs/>
          <w:sz w:val="20"/>
          <w:szCs w:val="20"/>
        </w:rPr>
      </w:pPr>
      <w:r>
        <w:rPr>
          <w:rFonts w:ascii="Franklin Gothic Book" w:eastAsia="Calibri" w:hAnsi="Franklin Gothic Book" w:cs="Times New Roman"/>
          <w:i/>
          <w:iCs/>
          <w:color w:val="808080" w:themeColor="background1" w:themeShade="80"/>
          <w:sz w:val="20"/>
          <w:szCs w:val="20"/>
        </w:rPr>
        <w:t>An example of “m</w:t>
      </w:r>
      <w:r w:rsidR="00262B3C" w:rsidRPr="00F65B29">
        <w:rPr>
          <w:rFonts w:ascii="Franklin Gothic Book" w:eastAsia="Calibri" w:hAnsi="Franklin Gothic Book" w:cs="Times New Roman"/>
          <w:i/>
          <w:iCs/>
          <w:color w:val="808080" w:themeColor="background1" w:themeShade="80"/>
          <w:sz w:val="20"/>
          <w:szCs w:val="20"/>
        </w:rPr>
        <w:t>ore information</w:t>
      </w:r>
      <w:r>
        <w:rPr>
          <w:rFonts w:ascii="Franklin Gothic Book" w:eastAsia="Calibri" w:hAnsi="Franklin Gothic Book" w:cs="Times New Roman"/>
          <w:i/>
          <w:iCs/>
          <w:color w:val="808080" w:themeColor="background1" w:themeShade="80"/>
          <w:sz w:val="20"/>
          <w:szCs w:val="20"/>
        </w:rPr>
        <w:t xml:space="preserve">”. </w:t>
      </w:r>
      <w:r>
        <w:rPr>
          <w:rFonts w:ascii="Franklin Gothic Book" w:eastAsia="Calibri" w:hAnsi="Franklin Gothic Book" w:cs="Times New Roman"/>
          <w:i/>
          <w:iCs/>
          <w:sz w:val="20"/>
          <w:szCs w:val="20"/>
        </w:rPr>
        <w:t>Must be in Edit mode to work.</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r w:rsidR="00D06C2E" w:rsidRPr="00F4169A">
        <w:t>Significantly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r w:rsidRPr="00B969C9">
        <w:rPr>
          <w:b/>
          <w:bCs/>
          <w:i/>
          <w:iCs/>
        </w:rPr>
        <w:t>Levenshtein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a </w:t>
      </w:r>
      <w:r w:rsidR="00F4169A" w:rsidRPr="00F4169A">
        <w:rPr>
          <w:rFonts w:eastAsia="Calibri" w:cs="Times New Roman"/>
        </w:rPr>
        <w:t xml:space="preserve">ASP.NET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519EDF55">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12ACA47">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Worked on design and implementation of a rich client application using latest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Aggregated multi-screen/multi-step laborious business processes into an efficient and streamlined single-page experiences with clean intuitive designs, smooth animated transitions, rich custom tooltips/mouse-overs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3B877DA1">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Engaged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linkedin.com/in/alexpigida),</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While the analyst team had been busy with specs gathering, created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local TFS: establishing a link between jobs submitted to TFS and corresponding tasks for documenting, invoicing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Used early Beta bits of TPL (Task Parallel Library) to “defreeze”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For the purpose of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Capitalizing on extremely advanced user base, created a prototype of a WebParts-based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1DFDC71" w14:textId="7A034971"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28600A6C" wp14:editId="077C9C64">
            <wp:extent cx="1039495" cy="276860"/>
            <wp:effectExtent l="0" t="0" r="8255" b="8890"/>
            <wp:docPr id="31" name="Picture 31" descr="BDO IT Solutions (former Systemgroup Inc.)">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O IT Solutions (former Systemgroup Inc.)">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949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0302C3">
        <w:rPr>
          <w:rFonts w:ascii="Franklin Gothic Book" w:eastAsia="Times New Roman" w:hAnsi="Franklin Gothic Book" w:cs="Times New Roman"/>
          <w:color w:val="2F5496"/>
          <w:sz w:val="28"/>
          <w:szCs w:val="32"/>
        </w:rPr>
        <w:t>Systemgroup</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2007/02 - 2008/01</w:t>
      </w:r>
    </w:p>
    <w:p w14:paraId="6418BAE2" w14:textId="2E87BDAB"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 full development life cycle of Mutual Funds Connect application for the Meridian Credit Union – a centralized information management tool that facilitates financial planning lifecycle administration and provides a seamless interface to the Wealth Management service delivery framework.</w:t>
      </w:r>
    </w:p>
    <w:p w14:paraId="23C6562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the front end of the application – a rich smart client using the latest advances in UI development – Windows Presentation Foundation (WPF).</w:t>
      </w:r>
    </w:p>
    <w:p w14:paraId="0AE3FF2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Prototyped business process flow between front and back offices using Widows Workflow Foundation (WF).</w:t>
      </w:r>
    </w:p>
    <w:p w14:paraId="67BFF44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Designed and implemented a custom business rule engine – a web service application providing metadata dependent on multidimensional set of incoming conditions pertaining the financial transaction at hand.</w:t>
      </w:r>
    </w:p>
    <w:p w14:paraId="4A0B06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Came up with an idea and implemented an application loading up the business rule engine with thousands of combinations translated from free form documentation describing the business process.</w:t>
      </w:r>
    </w:p>
    <w:p w14:paraId="23FFC49A" w14:textId="600E433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WPF, WF, WCF, VB.NET, WinForms, Smart Client, Web Services, XML, XPATH, T-SQL, WSDL, OOP, TFS.</w:t>
      </w:r>
    </w:p>
    <w:p w14:paraId="2625FED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AF69F6" w14:textId="22922EB3"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528862EC" wp14:editId="5547D339">
            <wp:extent cx="935355" cy="208915"/>
            <wp:effectExtent l="0" t="0" r="0" b="635"/>
            <wp:docPr id="30" name="Picture 30" descr="Direct Energ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 Energ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5355"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Direct Energy</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2006/09 - 2007/02</w:t>
      </w:r>
    </w:p>
    <w:p w14:paraId="5680B7A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Using SharePoint Server 2007 and WebParts of ASP.NET, devised a way to separate business logic development from graphic design and multilingual content support.</w:t>
      </w:r>
    </w:p>
    <w:p w14:paraId="2311EE0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developed a series of custom components for customers’ sign up and sign in to the corporate website.</w:t>
      </w:r>
    </w:p>
    <w:p w14:paraId="01E5B8D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Enhanced existing customer enrollment web application (a part of www.directenergy.com site) by introducing mid-tier components reflecting new business rules added to the process.</w:t>
      </w:r>
    </w:p>
    <w:p w14:paraId="64F10DA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assembly of components with WinForm .NET 2.0 front end responsible for staging data of various formats from company’s legacy systems to MS SQL Server databases.</w:t>
      </w:r>
    </w:p>
    <w:p w14:paraId="0EA6DCE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Implemented an internal support application for simple and efficient bulk editing of highly volatile data associated with company’s market penetration.</w:t>
      </w:r>
    </w:p>
    <w:p w14:paraId="32754ABB" w14:textId="2640CEFE"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 C#, VB.NET, WinForms, WebForms, Web Services, T-SQL, DTS, SharePoint Server, SOA, WSDL, OOP.</w:t>
      </w:r>
    </w:p>
    <w:p w14:paraId="58C0C65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685F2B6" w14:textId="5A7B14E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3F7F033B" wp14:editId="06ABB9E4">
            <wp:extent cx="694690" cy="266700"/>
            <wp:effectExtent l="0" t="0" r="0" b="0"/>
            <wp:docPr id="29" name="Picture 29" descr="Magna Cosma Internation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na Cosma Internation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94690" cy="26670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Magna International</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2005/11 - 2006/07</w:t>
      </w:r>
    </w:p>
    <w:p w14:paraId="0BBD1AA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AD0D07">
        <w:rPr>
          <w:rFonts w:ascii="Franklin Gothic Book" w:eastAsia="Calibri" w:hAnsi="Franklin Gothic Book" w:cs="Times New Roman"/>
        </w:rPr>
        <w:t xml:space="preserve">• </w:t>
      </w:r>
      <w:r w:rsidRPr="00B969C9">
        <w:rPr>
          <w:rFonts w:ascii="Franklin Gothic Book" w:eastAsia="Calibri" w:hAnsi="Franklin Gothic Book" w:cs="Times New Roman"/>
          <w:sz w:val="20"/>
          <w:szCs w:val="20"/>
        </w:rPr>
        <w:t xml:space="preserve">Took technical lead on late stages of a project of conversion from Lotus Notes to a modern ASP.NET 2.0 business workflow application. </w:t>
      </w:r>
    </w:p>
    <w:p w14:paraId="70B4D0F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rich, responsive and intuitive UI using ASP.NET WebForms, AJAX technology and third-party web control libraries (Infragistics, Skelta, etc.)</w:t>
      </w:r>
    </w:p>
    <w:p w14:paraId="63C23C9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the existing complex business tier into OO hierarchy of reusable and extensible types.</w:t>
      </w:r>
    </w:p>
    <w:p w14:paraId="2D9B868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Redesigned existing disparate data code pieces into a flexible and reusable data access component.</w:t>
      </w:r>
    </w:p>
    <w:p w14:paraId="4284FE2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a WinForm .NET 2.0 application for fast and efficient bug tracking, featuring automated email-based notification of assignees and real-time progress reporting capabilities.</w:t>
      </w:r>
    </w:p>
    <w:p w14:paraId="0316E3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Automated process of converting business process specs into executable business logic by writing software capable of processing company’s documentation.</w:t>
      </w:r>
    </w:p>
    <w:p w14:paraId="202199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Optimized T-SQL code to outperform existing means of data handling by two orders of magnitude.</w:t>
      </w:r>
    </w:p>
    <w:p w14:paraId="44176A68" w14:textId="6610DF49"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VS2005, ASP.NET 2.0(1.1), C#, VB.NET, WinForms, WebForms, Web Services, T-SQL, ORM, NHibernate, SSMS, DTS, Excel, SOA, WSDL, OOP, IIS.</w:t>
      </w:r>
    </w:p>
    <w:p w14:paraId="5159E315"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698B87" w14:textId="6358E4EE"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5070FF0" wp14:editId="7AFB0ED3">
            <wp:extent cx="637540" cy="297815"/>
            <wp:effectExtent l="0" t="0" r="0" b="6985"/>
            <wp:docPr id="28" name="Picture 28" descr="ThoughtCorp">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ughtCorp">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37540" cy="2978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Thoughtcorp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2005/04 - 2005/10</w:t>
      </w:r>
    </w:p>
    <w:p w14:paraId="6C1A66EC" w14:textId="4D6C83BE"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 a capacity of a senior .NET developer, participated in several projects concerned with high volume customer billing and payment systems for Bell Canada.</w:t>
      </w:r>
    </w:p>
    <w:p w14:paraId="4BEB645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numerous ASP.NET WebForms with underlying middle tier C#-based business objects as well as data processing scripts for Oracle database using PL SQL.</w:t>
      </w:r>
    </w:p>
    <w:p w14:paraId="2076634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Exposed business logic and data to the non-.NET clients in a platform neutral manner using Web Services.</w:t>
      </w:r>
    </w:p>
    <w:p w14:paraId="78CC9C85"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Provided real-time bug fixing of the existing code with surgical precision, which reduced to minimum need for regression testing.</w:t>
      </w:r>
    </w:p>
    <w:p w14:paraId="5C9D9DD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Stepped up with the initiatives of providing a set of WinForm-based tools for code generation and code conditioning which saved hundreds of man-hours for the team at the crunch time; as well as redesigned the existing middle-tier code to a better performing and easier to maintain components using OOP methodology.</w:t>
      </w:r>
    </w:p>
    <w:p w14:paraId="25BC2C6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Managed to satisfy simultaneously 3 managers on 3 concurring projects.</w:t>
      </w:r>
    </w:p>
    <w:p w14:paraId="3EFF235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Regularly completed my assignments in a fraction of the time allocated for the tasks.</w:t>
      </w:r>
    </w:p>
    <w:p w14:paraId="5CFC5B02" w14:textId="1F51AAA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ASP.NET 1.1, C#, VB.NET, WinForms, WebForms, Web Services, PL SQL, Oracle, Excel, SOA, WSDL, OOP, IIS.</w:t>
      </w:r>
    </w:p>
    <w:p w14:paraId="583C4CB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580563" w14:textId="442A2F87"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0C74AE0A" wp14:editId="734572FF">
            <wp:extent cx="255905" cy="255905"/>
            <wp:effectExtent l="0" t="0" r="0" b="0"/>
            <wp:docPr id="27" name="Picture 27" descr="Arbor Memorial">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or Memorial">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Arbor</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2004/08 - 2005/04</w:t>
      </w:r>
    </w:p>
    <w:p w14:paraId="77D378EF" w14:textId="3D91A89D"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standalone multithreaded .NET WinForm application which asynchronously decoded instructions from MS Word documents and performed scheduled de-normalization and data transfer from a production OLTP SQL server to various reporting non-SQL clients based on the decoded instructions.</w:t>
      </w:r>
    </w:p>
    <w:p w14:paraId="06D35E1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Helped to roll out a multimillion project on time by implementing various ASP.NET WebForms, providing quick bug fixes and careful bug-free implementation of the last minute modifications.</w:t>
      </w:r>
    </w:p>
    <w:p w14:paraId="75CD562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Refactored and optimized poorly performing middle-tier components as well as improved existing design and reduced amount of code by employing OOP methodology.</w:t>
      </w:r>
    </w:p>
    <w:p w14:paraId="616FAA34" w14:textId="1B0DCF3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WinForms, WebForms, MS Office Automation, T-SQL, DTS, FoxPro, MS Access, ASP.NET, IIS, MS SQL Server, OOP.</w:t>
      </w:r>
    </w:p>
    <w:p w14:paraId="13E16D07"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4A205ABE" w14:textId="3073D18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A5997C6" wp14:editId="6A205993">
            <wp:extent cx="637540" cy="255905"/>
            <wp:effectExtent l="0" t="0" r="0" b="0"/>
            <wp:docPr id="26" name="Picture 26" descr="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7540"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BMO</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2003/04 - 2004/07</w:t>
      </w:r>
    </w:p>
    <w:p w14:paraId="56460383" w14:textId="17DBD61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one of the largest .Net project: $25,000,000 budget, several million lines of code, and at the same time record-breaking completion time.</w:t>
      </w:r>
    </w:p>
    <w:p w14:paraId="5701A649"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Rendered numerous specs and design documents into tens of thousands lines of code.</w:t>
      </w:r>
    </w:p>
    <w:p w14:paraId="7555155C" w14:textId="573A00B1"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Designed and implemented </w:t>
      </w:r>
      <w:r w:rsidR="00655FC4" w:rsidRPr="00B969C9">
        <w:rPr>
          <w:rFonts w:ascii="Franklin Gothic Book" w:eastAsia="Calibri" w:hAnsi="Franklin Gothic Book" w:cs="Times New Roman"/>
          <w:sz w:val="20"/>
          <w:szCs w:val="20"/>
        </w:rPr>
        <w:t>several</w:t>
      </w:r>
      <w:r w:rsidRPr="00B969C9">
        <w:rPr>
          <w:rFonts w:ascii="Franklin Gothic Book" w:eastAsia="Calibri" w:hAnsi="Franklin Gothic Book" w:cs="Times New Roman"/>
          <w:sz w:val="20"/>
          <w:szCs w:val="20"/>
        </w:rPr>
        <w:t xml:space="preserve"> key components of the application: a reflection-based attribute driven cross-tier dataflow and mapping system, which reduced tenfold amount of code to write, test and maintain; jet form printing components; numerous WinForms and business tier components.</w:t>
      </w:r>
    </w:p>
    <w:p w14:paraId="5C215844"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Employed several key aspects of extreme programming and OOP methodologies, which helped speed up development process and reduced time of consequent regression testing to a minimum. </w:t>
      </w:r>
    </w:p>
    <w:p w14:paraId="06440DA3" w14:textId="05D8D3B6"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.NET, C#, WinForm, XML, WSDL, SOA, OOP.</w:t>
      </w:r>
    </w:p>
    <w:p w14:paraId="7BCBCD0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BCBD86D" w14:textId="69C8A257" w:rsidR="006C75C1" w:rsidRPr="00AD0D07" w:rsidRDefault="000302C3" w:rsidP="001B0B2C">
      <w:pPr>
        <w:keepNext/>
        <w:keepLines/>
        <w:tabs>
          <w:tab w:val="left" w:pos="2340"/>
          <w:tab w:val="left" w:pos="4770"/>
        </w:tabs>
        <w:spacing w:before="240" w:after="0" w:line="257" w:lineRule="auto"/>
        <w:outlineLvl w:val="0"/>
        <w15:collapsed/>
        <w:rPr>
          <w:rFonts w:ascii="Franklin Gothic Book" w:eastAsia="Times New Roman" w:hAnsi="Franklin Gothic Book" w:cs="Times New Roman"/>
          <w:color w:val="2F5496"/>
          <w:sz w:val="26"/>
          <w:szCs w:val="32"/>
        </w:rPr>
      </w:pPr>
      <w:bookmarkStart w:id="9" w:name="_Hlk155963024"/>
      <w:r w:rsidRPr="000302C3">
        <w:rPr>
          <w:rFonts w:ascii="Franklin Gothic Book" w:eastAsia="Times New Roman" w:hAnsi="Franklin Gothic Book" w:cs="Times New Roman"/>
          <w:b/>
          <w:color w:val="2F5496"/>
          <w:sz w:val="24"/>
          <w:szCs w:val="32"/>
        </w:rPr>
        <w:t xml:space="preserve">Ukrainian </w:t>
      </w:r>
      <w:r w:rsidR="006C75C1" w:rsidRPr="000302C3">
        <w:rPr>
          <w:rFonts w:ascii="Franklin Gothic Book" w:eastAsia="Times New Roman" w:hAnsi="Franklin Gothic Book" w:cs="Times New Roman"/>
          <w:b/>
          <w:color w:val="2F5496"/>
          <w:sz w:val="24"/>
          <w:szCs w:val="32"/>
        </w:rPr>
        <w:t>Academy of Sciences</w:t>
      </w:r>
      <w:r w:rsidR="006C75C1" w:rsidRPr="00AD0D07">
        <w:rPr>
          <w:rFonts w:ascii="Franklin Gothic Book" w:eastAsia="Times New Roman" w:hAnsi="Franklin Gothic Book" w:cs="Times New Roman"/>
          <w:color w:val="2F5496"/>
          <w:sz w:val="26"/>
          <w:szCs w:val="32"/>
        </w:rPr>
        <w:tab/>
      </w:r>
      <w:r w:rsidRPr="000302C3">
        <w:rPr>
          <w:rFonts w:ascii="Franklin Gothic Book" w:eastAsia="Times New Roman" w:hAnsi="Franklin Gothic Book" w:cs="Times New Roman"/>
          <w:i/>
          <w:iCs/>
          <w:color w:val="2F5496"/>
          <w:szCs w:val="32"/>
        </w:rPr>
        <w:t>Staff Scientist</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1987/06 - 1992/05</w:t>
      </w:r>
    </w:p>
    <w:p w14:paraId="063AAF15"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Participated in projects: “Noncooled Infrared Magneto-Injection Emitters Based on CdHgTe”, “Holographic Correction of Distortions of Acousto-Optical Modulator in Photorefractive Crystals”:</w:t>
      </w:r>
    </w:p>
    <w:p w14:paraId="145B783F"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Conducted experiments in the fields of Laser Optics and Infrared Spectroscopy.</w:t>
      </w:r>
    </w:p>
    <w:p w14:paraId="1420C488"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Developed C programs for numerical analysis of the data and graphical representation of the results.</w:t>
      </w:r>
    </w:p>
    <w:p w14:paraId="48205F5C" w14:textId="77777777" w:rsidR="006C75C1" w:rsidRPr="00AD0D07" w:rsidRDefault="006C75C1" w:rsidP="00125881">
      <w:pPr>
        <w:tabs>
          <w:tab w:val="left" w:pos="1980"/>
          <w:tab w:val="left" w:pos="2880"/>
          <w:tab w:val="left" w:pos="5760"/>
        </w:tabs>
        <w:spacing w:after="60"/>
        <w:rPr>
          <w:rFonts w:ascii="Franklin Gothic Book" w:eastAsia="Calibri" w:hAnsi="Franklin Gothic Book" w:cs="Times New Roman"/>
        </w:rPr>
      </w:pPr>
      <w:r w:rsidRPr="00AD0D07">
        <w:rPr>
          <w:rFonts w:ascii="Franklin Gothic Book" w:eastAsia="Calibri" w:hAnsi="Franklin Gothic Book" w:cs="Times New Roman"/>
        </w:rPr>
        <w:t>• Published the achievements in scientific periodicals worldwide.</w:t>
      </w:r>
    </w:p>
    <w:p w14:paraId="1CF730F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bookmarkEnd w:id="9"/>
    <w:p w14:paraId="521EB784" w14:textId="18F55E44" w:rsidR="006C75C1" w:rsidRPr="00AD0D07" w:rsidRDefault="006C75C1"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p>
    <w:p w14:paraId="278D147B" w14:textId="69F58B3C" w:rsidR="00427366" w:rsidRDefault="00427366">
      <w:pPr>
        <w:rPr>
          <w:rFonts w:ascii="Franklin Gothic Book" w:eastAsia="Times New Roman" w:hAnsi="Franklin Gothic Book" w:cs="Times New Roman"/>
          <w:spacing w:val="-10"/>
          <w:kern w:val="28"/>
          <w:sz w:val="56"/>
          <w:szCs w:val="56"/>
        </w:rPr>
      </w:pPr>
      <w:bookmarkStart w:id="10"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Education</w:t>
      </w:r>
    </w:p>
    <w:bookmarkEnd w:id="10"/>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Microsoft Official Curriculum courses, Developmentor</w:t>
      </w:r>
      <w:r w:rsidR="004E104F">
        <w:rPr>
          <w:rFonts w:ascii="Franklin Gothic Book" w:eastAsia="Calibri" w:hAnsi="Franklin Gothic Book" w:cs="Times New Roman"/>
          <w:b/>
          <w:bCs/>
        </w:rPr>
        <w:t>’s</w:t>
      </w:r>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Master of Science in Quantum Radiophysics and Electronics</w:t>
      </w:r>
      <w:bookmarkEnd w:id="0"/>
    </w:p>
    <w:sectPr w:rsidR="006C75C1" w:rsidSect="00101787">
      <w:headerReference w:type="default" r:id="rId51"/>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EFDD3" w14:textId="77777777" w:rsidR="00101787" w:rsidRDefault="00101787" w:rsidP="00CB7B21">
      <w:pPr>
        <w:spacing w:after="0" w:line="240" w:lineRule="auto"/>
      </w:pPr>
      <w:r>
        <w:separator/>
      </w:r>
    </w:p>
  </w:endnote>
  <w:endnote w:type="continuationSeparator" w:id="0">
    <w:p w14:paraId="5DEDA4DC" w14:textId="77777777" w:rsidR="00101787" w:rsidRDefault="00101787"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D06E7" w14:textId="77777777" w:rsidR="00101787" w:rsidRDefault="00101787" w:rsidP="00CB7B21">
      <w:pPr>
        <w:spacing w:after="0" w:line="240" w:lineRule="auto"/>
      </w:pPr>
      <w:r>
        <w:separator/>
      </w:r>
    </w:p>
  </w:footnote>
  <w:footnote w:type="continuationSeparator" w:id="0">
    <w:p w14:paraId="31414617" w14:textId="77777777" w:rsidR="00101787" w:rsidRDefault="00101787"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1pt;height:19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83894"/>
    <w:rsid w:val="000E001D"/>
    <w:rsid w:val="000E032F"/>
    <w:rsid w:val="000E18D6"/>
    <w:rsid w:val="000E762E"/>
    <w:rsid w:val="000F463C"/>
    <w:rsid w:val="000F5009"/>
    <w:rsid w:val="00101787"/>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1207"/>
    <w:rsid w:val="00233890"/>
    <w:rsid w:val="00236CF0"/>
    <w:rsid w:val="00246A05"/>
    <w:rsid w:val="00247B13"/>
    <w:rsid w:val="00262B3C"/>
    <w:rsid w:val="00271C63"/>
    <w:rsid w:val="002733CC"/>
    <w:rsid w:val="00274187"/>
    <w:rsid w:val="00297CED"/>
    <w:rsid w:val="002B49B7"/>
    <w:rsid w:val="002C207C"/>
    <w:rsid w:val="00302894"/>
    <w:rsid w:val="0031031E"/>
    <w:rsid w:val="00320887"/>
    <w:rsid w:val="00322303"/>
    <w:rsid w:val="00327618"/>
    <w:rsid w:val="00333C3C"/>
    <w:rsid w:val="003365D0"/>
    <w:rsid w:val="00340F62"/>
    <w:rsid w:val="00347D1A"/>
    <w:rsid w:val="00363281"/>
    <w:rsid w:val="003910DF"/>
    <w:rsid w:val="00392196"/>
    <w:rsid w:val="003A774A"/>
    <w:rsid w:val="003B326A"/>
    <w:rsid w:val="003C6CA6"/>
    <w:rsid w:val="003D57DC"/>
    <w:rsid w:val="003D74F8"/>
    <w:rsid w:val="003D7AAE"/>
    <w:rsid w:val="003E3681"/>
    <w:rsid w:val="003E4AA2"/>
    <w:rsid w:val="004044EE"/>
    <w:rsid w:val="004114B0"/>
    <w:rsid w:val="00412710"/>
    <w:rsid w:val="004241DD"/>
    <w:rsid w:val="00424504"/>
    <w:rsid w:val="00427366"/>
    <w:rsid w:val="00452D02"/>
    <w:rsid w:val="004533E6"/>
    <w:rsid w:val="00454B2D"/>
    <w:rsid w:val="004638E6"/>
    <w:rsid w:val="0046762A"/>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86965"/>
    <w:rsid w:val="007955BD"/>
    <w:rsid w:val="00797482"/>
    <w:rsid w:val="007B0C42"/>
    <w:rsid w:val="007C3F4D"/>
    <w:rsid w:val="007E1D8B"/>
    <w:rsid w:val="007F5BEB"/>
    <w:rsid w:val="007F6335"/>
    <w:rsid w:val="0081094C"/>
    <w:rsid w:val="00817987"/>
    <w:rsid w:val="008242A9"/>
    <w:rsid w:val="00840071"/>
    <w:rsid w:val="00840F2E"/>
    <w:rsid w:val="008446CD"/>
    <w:rsid w:val="00856FAB"/>
    <w:rsid w:val="00860A13"/>
    <w:rsid w:val="00864D0A"/>
    <w:rsid w:val="00882F07"/>
    <w:rsid w:val="00892F33"/>
    <w:rsid w:val="008A360B"/>
    <w:rsid w:val="008C1208"/>
    <w:rsid w:val="008D5124"/>
    <w:rsid w:val="008E21D1"/>
    <w:rsid w:val="00900C56"/>
    <w:rsid w:val="00902752"/>
    <w:rsid w:val="00912AC0"/>
    <w:rsid w:val="009136CA"/>
    <w:rsid w:val="00927EC7"/>
    <w:rsid w:val="00943D57"/>
    <w:rsid w:val="009501BF"/>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151B"/>
    <w:rsid w:val="00B56013"/>
    <w:rsid w:val="00B913C3"/>
    <w:rsid w:val="00B93B03"/>
    <w:rsid w:val="00B969C9"/>
    <w:rsid w:val="00B96F4E"/>
    <w:rsid w:val="00BC1403"/>
    <w:rsid w:val="00BC331C"/>
    <w:rsid w:val="00BC372D"/>
    <w:rsid w:val="00BD02C0"/>
    <w:rsid w:val="00BE2F01"/>
    <w:rsid w:val="00BF0743"/>
    <w:rsid w:val="00BF2D9B"/>
    <w:rsid w:val="00BF7F5A"/>
    <w:rsid w:val="00C01ECD"/>
    <w:rsid w:val="00C07CA8"/>
    <w:rsid w:val="00C131A6"/>
    <w:rsid w:val="00C1411E"/>
    <w:rsid w:val="00C14B37"/>
    <w:rsid w:val="00C23116"/>
    <w:rsid w:val="00C24AF6"/>
    <w:rsid w:val="00C32EF6"/>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02D8"/>
    <w:rsid w:val="00D22628"/>
    <w:rsid w:val="00D37DD3"/>
    <w:rsid w:val="00D56F9F"/>
    <w:rsid w:val="00D60D76"/>
    <w:rsid w:val="00D61960"/>
    <w:rsid w:val="00D72393"/>
    <w:rsid w:val="00D91986"/>
    <w:rsid w:val="00D94FCB"/>
    <w:rsid w:val="00D95D5A"/>
    <w:rsid w:val="00DC3362"/>
    <w:rsid w:val="00DC6898"/>
    <w:rsid w:val="00DD43D2"/>
    <w:rsid w:val="00DD7835"/>
    <w:rsid w:val="00DF1F88"/>
    <w:rsid w:val="00E20864"/>
    <w:rsid w:val="00E3521C"/>
    <w:rsid w:val="00E3661F"/>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C5308"/>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hyperlink" Target="https://www.directenergy.com/" TargetMode="External"/><Relationship Id="rId47" Type="http://schemas.openxmlformats.org/officeDocument/2006/relationships/image" Target="media/image20.png"/><Relationship Id="rId50"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www.citigroup.com/canada/en/"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yperlink" Target="https://itsolutions.bdo.ca/systemgroupinc/" TargetMode="External"/><Relationship Id="rId45" Type="http://schemas.openxmlformats.org/officeDocument/2006/relationships/image" Target="media/image1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yperlink" Target="http://www.alexPi.ca/" TargetMode="External"/><Relationship Id="rId31" Type="http://schemas.openxmlformats.org/officeDocument/2006/relationships/image" Target="http://cdn1.91pad.com/screenshot/img1/A.D.201202010433398025.png" TargetMode="External"/><Relationship Id="rId44" Type="http://schemas.openxmlformats.org/officeDocument/2006/relationships/hyperlink" Target="http://www.magna.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43" Type="http://schemas.openxmlformats.org/officeDocument/2006/relationships/image" Target="media/image18.png"/><Relationship Id="rId48" Type="http://schemas.openxmlformats.org/officeDocument/2006/relationships/hyperlink" Target="https://www.arbormemorial.ca/en/" TargetMode="External"/><Relationship Id="rId8" Type="http://schemas.openxmlformats.org/officeDocument/2006/relationships/hyperlink" Target="http://www.alexPi.ca"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 Id="rId46" Type="http://schemas.openxmlformats.org/officeDocument/2006/relationships/hyperlink" Target="https://www.epam.com/" TargetMode="External"/><Relationship Id="rId20" Type="http://schemas.openxmlformats.org/officeDocument/2006/relationships/hyperlink" Target="https://www.bmo.com/"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49" Type="http://schemas.openxmlformats.org/officeDocument/2006/relationships/image" Target="media/image21.png"/></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3997</Words>
  <Characters>22784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32</cp:revision>
  <cp:lastPrinted>2024-01-16T15:00:00Z</cp:lastPrinted>
  <dcterms:created xsi:type="dcterms:W3CDTF">2024-01-12T16:12:00Z</dcterms:created>
  <dcterms:modified xsi:type="dcterms:W3CDTF">2024-02-23T14:59:00Z</dcterms:modified>
</cp:coreProperties>
</file>