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9649b39c0134883" /><Relationship Type="http://schemas.openxmlformats.org/package/2006/relationships/metadata/core-properties" Target="/package/services/metadata/core-properties/936cd1a742844515b39616181c4f97a0.psmdcp" Id="Rab9d328b0a04439d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Planificación de Reposición de Stock</w:t>
      </w:r>
    </w:p>
    <w:p>
      <w:pPr>
        <w:pStyle w:val="heading1"/>
      </w:pPr>
      <w:bookmarkStart w:name="research_brief_planificación_de_reposición_de_stock" w:id="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d8"/>
                    <pic:cNvPicPr/>
                  </pic:nvPicPr>
                  <pic:blipFill>
                    <a:blip xmlns:r="http://schemas.openxmlformats.org/officeDocument/2006/relationships" r:embed="R36c1d4453caa4f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Research Brief: Planificación de Reposición de Stock</w:t>
      </w:r>
      <w:bookmarkEnd w:id="1"/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research_question" w:id="2"/>
      <w:r>
        <w:t>Research Question</w:t>
      </w:r>
      <w:bookmarkEnd w:id="2"/>
    </w:p>
    <w:p>
      <w:r>
        <w:t>¿Cómo estructurar y aplicar modelos, métodos, técnicas y herramientas para optimizar la planificación de reposición de stock en contextos minoristas e industriales?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background_context" w:id="3"/>
      <w:r>
        <w:t>Background Context</w:t>
      </w:r>
      <w:bookmarkEnd w:id="3"/>
    </w:p>
    <w:p>
      <w:r>
        <w:t>Alejandro solicitó materiales de estudio y referencia sobre planificación de reposición de stock. La conversación derivó en la creación de múltiples formatos (mini-guía visual, checklist, documento Word, presentación PowerPoint y póster gráfico) que condensan los principales enfoques matemáticos, metodológicos y tecnológicos aplicables a la gestión de inventarios.</w:t>
      </w:r>
      <w:r>
        <w:br/>
      </w:r>
      <w:r>
        <w:t xml:space="preserve">El objetivo central es equilibrar la </w:t>
      </w:r>
      <w:r>
        <w:rPr>
          <w:b/>
        </w:rPr>
        <w:t>disponibilidad de productos</w:t>
      </w:r>
      <w:r>
        <w:t xml:space="preserve"> con la </w:t>
      </w:r>
      <w:r>
        <w:rPr>
          <w:b/>
        </w:rPr>
        <w:t>optimización de costos</w:t>
      </w:r>
      <w:r>
        <w:t>, adaptando las prácticas según el tipo de negocio.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ypotheses_key_ideas" w:id="4"/>
      <w:r>
        <w:t>Hypotheses / Key Ideas</w:t>
      </w:r>
      <w:bookmarkEnd w:id="4"/>
    </w:p>
    <w:p>
      <w:pPr>
        <w:pStyle w:val="ListParagraph"/>
        <w:numPr>
          <w:ilvl w:val="0"/>
          <w:numId w:val="1"/>
        </w:numPr>
      </w:pPr>
      <w:r>
        <w:t>Los modelos matemáticos (ROP, EOQ, JIT, probabilístico) permiten calcular puntos de pedido y cantidades óptimas según demanda y costos.</w:t>
      </w:r>
    </w:p>
    <w:p>
      <w:pPr>
        <w:pStyle w:val="ListParagraph"/>
        <w:numPr>
          <w:ilvl w:val="0"/>
          <w:numId w:val="1"/>
        </w:numPr>
      </w:pPr>
      <w:r>
        <w:t>Los métodos de gestión (ABC/XYZ, Kanban, Cross-docking, Dropshipping) facilitan la organización y flujo de inventarios.</w:t>
      </w:r>
    </w:p>
    <w:p>
      <w:pPr>
        <w:pStyle w:val="ListParagraph"/>
        <w:numPr>
          <w:ilvl w:val="0"/>
          <w:numId w:val="1"/>
        </w:numPr>
      </w:pPr>
      <w:r>
        <w:t>Técnicas como forecasting, stock de seguridad y reducción de lead time son esenciales para mitigar incertidumbre y mejorar el nivel de servicio.</w:t>
      </w:r>
    </w:p>
    <w:p>
      <w:pPr>
        <w:pStyle w:val="ListParagraph"/>
        <w:numPr>
          <w:ilvl w:val="0"/>
          <w:numId w:val="1"/>
        </w:numPr>
      </w:pPr>
      <w:r>
        <w:t>Herramientas digitales (ERP, WMS, MRP, BI dashboards) integran y automatizan la gestión de inventarios.</w:t>
      </w:r>
    </w:p>
    <w:p>
      <w:pPr>
        <w:pStyle w:val="ListParagraph"/>
        <w:numPr>
          <w:ilvl w:val="0"/>
          <w:numId w:val="1"/>
        </w:numPr>
      </w:pPr>
      <w:r>
        <w:t xml:space="preserve">La aplicación varía entre </w:t>
      </w:r>
      <w:r>
        <w:rPr>
          <w:b/>
        </w:rPr>
        <w:t>minorista</w:t>
      </w:r>
      <w:r>
        <w:t xml:space="preserve"> (enfocado en disponibilidad inmediata) e </w:t>
      </w:r>
      <w:r>
        <w:rPr>
          <w:b/>
        </w:rPr>
        <w:t>industrial</w:t>
      </w:r>
      <w:r>
        <w:t xml:space="preserve"> (enfocado en continuidad de producción).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evidence_references" w:id="5"/>
      <w:r>
        <w:t>Evidence &amp; References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b/>
        </w:rPr>
        <w:t>Modelos matemáticos:</w:t>
      </w:r>
    </w:p>
    <w:p>
      <w:pPr>
        <w:pStyle w:val="ListParagraph"/>
        <w:numPr>
          <w:ilvl w:val="1"/>
          <w:numId w:val="2"/>
        </w:numPr>
      </w:pPr>
      <w:r>
        <w:t>ROP = D × L + SS</w:t>
      </w:r>
    </w:p>
    <w:p>
      <w:pPr>
        <w:pStyle w:val="ListParagraph"/>
        <w:numPr>
          <w:ilvl w:val="1"/>
          <w:numId w:val="2"/>
        </w:numPr>
      </w:pPr>
      <w:r>
        <w:t>EOQ = √(2DS/H)</w:t>
      </w:r>
    </w:p>
    <w:p>
      <w:pPr>
        <w:pStyle w:val="ListParagraph"/>
        <w:numPr>
          <w:ilvl w:val="1"/>
          <w:numId w:val="2"/>
        </w:numPr>
      </w:pPr>
      <w:r>
        <w:t>Probabilístico: ROP = D × L + Z × σL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Ejemplos numéricos:</w:t>
      </w:r>
    </w:p>
    <w:p>
      <w:pPr>
        <w:pStyle w:val="ListParagraph"/>
        <w:numPr>
          <w:ilvl w:val="1"/>
          <w:numId w:val="2"/>
        </w:numPr>
      </w:pPr>
      <w:r>
        <w:t>Supermercado: ROP ≈ 350 unidades de leche.</w:t>
      </w:r>
    </w:p>
    <w:p>
      <w:pPr>
        <w:pStyle w:val="ListParagraph"/>
        <w:numPr>
          <w:ilvl w:val="1"/>
          <w:numId w:val="2"/>
        </w:numPr>
      </w:pPr>
      <w:r>
        <w:t>Fábrica: EOQ ≈ 707 tornillos por pedido.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Comparación minorista vs industrial:</w:t>
      </w:r>
    </w:p>
    <w:p>
      <w:pPr>
        <w:pStyle w:val="ListParagraph"/>
        <w:numPr>
          <w:ilvl w:val="1"/>
          <w:numId w:val="2"/>
        </w:numPr>
      </w:pPr>
      <w:r>
        <w:t>Minorista: ROP, JIT, forecasting estacional, ERP ligero.</w:t>
      </w:r>
    </w:p>
    <w:p>
      <w:pPr>
        <w:pStyle w:val="ListParagraph"/>
        <w:numPr>
          <w:ilvl w:val="1"/>
          <w:numId w:val="2"/>
        </w:numPr>
      </w:pPr>
      <w:r>
        <w:t>Industrial: EOQ, MRP, forecasting avanzado, ERP robusto + WMS.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next_steps_experiments" w:id="6"/>
      <w:r>
        <w:t>Next Steps / Experiments</w:t>
      </w:r>
      <w:bookmarkEnd w:id="6"/>
    </w:p>
    <w:p>
      <w:pPr>
        <w:pStyle w:val="ListParagraph"/>
        <w:numPr>
          <w:ilvl w:val="0"/>
          <w:numId w:val="3"/>
        </w:numPr>
      </w:pPr>
      <w:r>
        <w:t>Aplicar los modelos en casos prácticos adicionales (ej. productos de alta variabilidad de demanda).</w:t>
      </w:r>
    </w:p>
    <w:p>
      <w:pPr>
        <w:pStyle w:val="ListParagraph"/>
        <w:numPr>
          <w:ilvl w:val="0"/>
          <w:numId w:val="3"/>
        </w:numPr>
      </w:pPr>
      <w:r>
        <w:t>Evaluar impacto de reducción de lead time en distintos sectores.</w:t>
      </w:r>
    </w:p>
    <w:p>
      <w:pPr>
        <w:pStyle w:val="ListParagraph"/>
        <w:numPr>
          <w:ilvl w:val="0"/>
          <w:numId w:val="3"/>
        </w:numPr>
      </w:pPr>
      <w:r>
        <w:t>Integrar dashboards BI para monitoreo en tiempo real de KPIs de inventario.</w:t>
      </w:r>
    </w:p>
    <w:p>
      <w:pPr>
        <w:pStyle w:val="ListParagraph"/>
        <w:numPr>
          <w:ilvl w:val="0"/>
          <w:numId w:val="3"/>
        </w:numPr>
      </w:pPr>
      <w:r>
        <w:t>Desarrollar capacitaciones basadas en los materiales generados (Word, PowerPoint, póster).</w:t>
      </w:r>
    </w:p>
    <w:p>
      <w:pPr>
        <w:pStyle w:val="ListParagraph"/>
        <w:numPr>
          <w:ilvl w:val="0"/>
          <w:numId w:val="3"/>
        </w:numPr>
      </w:pPr>
      <w:r>
        <w:t>Probar versiones impresas y digitales en entornos de formación y trabajo para validar su utilidad pedagógica.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appendix" w:id="7"/>
      <w:r>
        <w:t>Appendix</w:t>
      </w:r>
      <w:bookmarkEnd w:id="7"/>
    </w:p>
    <w:p>
      <w:pPr>
        <w:pStyle w:val="heading3"/>
      </w:pPr>
      <w:bookmarkStart w:name="materiales_generados" w:id="8"/>
      <w:r>
        <w:t>Materiales generados</w:t>
      </w:r>
      <w:bookmarkEnd w:id="8"/>
    </w:p>
    <w:p>
      <w:pPr>
        <w:pStyle w:val="ListParagraph"/>
        <w:numPr>
          <w:ilvl w:val="0"/>
          <w:numId w:val="4"/>
        </w:numPr>
      </w:pPr>
      <w:r>
        <w:t>Mini-guía visual tipo mapa mental.</w:t>
      </w:r>
    </w:p>
    <w:p>
      <w:pPr>
        <w:pStyle w:val="ListParagraph"/>
        <w:numPr>
          <w:ilvl w:val="0"/>
          <w:numId w:val="4"/>
        </w:numPr>
      </w:pPr>
      <w:r>
        <w:t>Checklist ultra rápida.</w:t>
      </w:r>
    </w:p>
    <w:p>
      <w:pPr>
        <w:pStyle w:val="ListParagraph"/>
        <w:numPr>
          <w:ilvl w:val="0"/>
          <w:numId w:val="4"/>
        </w:numPr>
      </w:pPr>
      <w:r>
        <w:t>Documento Word editable con fórmulas, tablas y diagramas.</w:t>
      </w:r>
    </w:p>
    <w:p>
      <w:pPr>
        <w:pStyle w:val="ListParagraph"/>
        <w:numPr>
          <w:ilvl w:val="0"/>
          <w:numId w:val="4"/>
        </w:numPr>
      </w:pPr>
      <w:r>
        <w:t>Presentación PowerPoint con estructura pedagógica.</w:t>
      </w:r>
    </w:p>
    <w:p>
      <w:pPr>
        <w:pStyle w:val="ListParagraph"/>
        <w:numPr>
          <w:ilvl w:val="0"/>
          <w:numId w:val="4"/>
        </w:numPr>
      </w:pPr>
      <w:r>
        <w:t>Póster gráfico en una sola diapositiva para referencia rápida.</w:t>
      </w:r>
    </w:p>
    <w:p>
      <w:pPr>
        <w:pStyle w:val="heading3"/>
      </w:pPr>
      <w:bookmarkStart w:name="future_considerations" w:id="9"/>
      <w:r>
        <w:t>Future Considerations</w:t>
      </w:r>
      <w:bookmarkEnd w:id="9"/>
    </w:p>
    <w:p>
      <w:pPr>
        <w:pStyle w:val="ListParagraph"/>
        <w:numPr>
          <w:ilvl w:val="0"/>
          <w:numId w:val="5"/>
        </w:numPr>
      </w:pPr>
      <w:r>
        <w:t>Versión en blanco y negro optimizada para impresión económica.</w:t>
      </w:r>
    </w:p>
    <w:p>
      <w:pPr>
        <w:pStyle w:val="ListParagraph"/>
        <w:numPr>
          <w:ilvl w:val="0"/>
          <w:numId w:val="5"/>
        </w:numPr>
      </w:pPr>
      <w:r>
        <w:t>Ampliación con casos prácticos sectoriales (farmacéutico, automotriz, e-commerce).</w:t>
      </w:r>
    </w:p>
    <w:p>
      <w:pPr>
        <w:pStyle w:val="ListParagraph"/>
        <w:numPr>
          <w:ilvl w:val="0"/>
          <w:numId w:val="5"/>
        </w:numPr>
      </w:pPr>
      <w:r>
        <w:t>Inclusión de simulaciones probabilísticas con software especializado.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2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2705"/>
                    <pic:cNvPicPr/>
                  </pic:nvPicPr>
                  <pic:blipFill>
                    <a:blip xmlns:r="http://schemas.openxmlformats.org/officeDocument/2006/relationships" r:embed="R7881748d451d45bb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Este Research Brief sintetiza el conocimiento compartido y los materiales creados, ofreciendo una base sólida para estudio, aplicación práctica y capacitación en planificación de reposición de stock.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5676e1b3c92c465d" /><Relationship Type="http://schemas.openxmlformats.org/officeDocument/2006/relationships/settings" Target="/word/settings.xml" Id="R629f8ce31eb94697" /><Relationship Type="http://schemas.openxmlformats.org/officeDocument/2006/relationships/styles" Target="/word/styles.xml" Id="R233d6cc0b8b34eae" /><Relationship Type="http://schemas.openxmlformats.org/officeDocument/2006/relationships/image" Target="/media/image2.png" Id="R36c1d4453caa4f13" /><Relationship Type="http://schemas.openxmlformats.org/officeDocument/2006/relationships/image" Target="/media/image3.png" Id="R7881748d451d45bb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