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AGENIKPREDICT</w:t>
      </w:r>
    </w:p>
    <w:p>
      <w:pPr>
        <w:spacing w:after="60"/>
        <w:jc w:val="center"/>
      </w:pPr>
      <w:r>
        <w:rPr>
          <w:rFonts w:ascii="Arial" w:cs="Arial" w:eastAsia="Arial" w:hAnsi="Arial"/>
          <w:color w:val="222222"/>
          <w:sz w:val="36"/>
          <w:szCs w:val="36"/>
        </w:rPr>
        <w:t xml:space="preserve">Global Market Entry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Comprehensive Marketing Plan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12 Languages • 6 Regions • Simultaneous Launch</w:t>
      </w:r>
    </w:p>
    <w:p>
      <w:pPr>
        <w:pBdr>
          <w:top w:val="single" w:color="2E75B6" w:sz="2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"Don't predict the future. Rehearse it."</w:t>
      </w:r>
    </w:p>
    <w:p>
      <w:pPr>
        <w:spacing w:before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Manogrand Inc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alex@manogrand.ai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AgenikPredict is the world's first AI-powered public opinion simulator. Using multi-agent social simulation (CAMEL-AI OASIS), GraphRAG memory (Zep Cloud), and Claude LLM reasoning, the platform lets organizations rehearse public reaction to any content — before publication. Users upload documents, videos, URLs, or raw text and receive a detailed simulation of how thousands of AI personas with realistic demographics, biases, and emotional profiles would react.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outlines a simultaneous global launch across 6 macro-regions and 12 languages, targeting a $2.4M ARR run-rate within 18 months. The strategy is designed for capital-efficient execution: heavy digital-first approach, zero physical offices abroad, leveraging HeyGen AI video for localized content at scale, and community-led growth in each market.</w:t>
      </w:r>
    </w:p>
    <w:p>
      <w:pPr>
        <w:spacing w:before="200"/>
      </w:pPr>
    </w:p>
    <w:p>
      <w:pPr>
        <w:pStyle w:val="Heading2"/>
      </w:pPr>
      <w:r>
        <w:t xml:space="preserve">1.1 Key Metrics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$16K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Markets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regions / 12 langs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regions / 16+ langs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&gt;55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Global Market Landscape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predictive analytics and social listening market is valued at $12.5B in 2025 and projected to reach $28B by 2030 (CAGR 17.5%). AgenikPredict operates at the intersection of three growing categories: AI-powered analytics, social simulation, and content pre-testing. No direct competitor offers multi-agent opinion simulation at this scale.</w:t>
      </w:r>
    </w:p>
    <w:p>
      <w:pPr>
        <w:pStyle w:val="Heading2"/>
      </w:pPr>
      <w:r>
        <w:t xml:space="preserve">2.1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AgenikPredict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Brandwatch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Sprout Social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Focus Groups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Pre-publication 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agent 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results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(minutes)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(post-hoc)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(post-hoc)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 (weeks)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languages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Per-market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 per analysis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$0.50–$5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$500+/mo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$200+/mo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$15K–$80K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Video/URL input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</w:pPr>
      <w:r>
        <w:t xml:space="preserve">2.2 Target Regions &amp;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Verticals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Reg. Complexity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$4.2B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Tech, Media, Politics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(CCPA)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Israel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$180M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Tech, Defense, Startups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DACH (DE/AT/CH)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$1.8B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Auto, Finance, Pharma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(GDPR+)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FR, IT, NL, 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$3.1B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FMCG, Fashion,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(GDPR)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Ibero-America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ES, 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$1.4B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Fintech, Media, Gov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CIS / Eastern Europe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RU, PL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$890M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Tech, E-com,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$620M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Gov, Energy,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$340M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E-com, Media, Finance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Product-Market Fit by Segment</w:t>
      </w:r>
    </w:p>
    <w:p>
      <w:pPr>
        <w:pStyle w:val="Heading2"/>
      </w:pPr>
      <w:r>
        <w:t xml:space="preserve">3.1 Enterprise Segment ($500–$2,000/mo)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Large corporations with PR, marketing, and government relations departments. They currently spend $15K–$80K per traditional focus group. AgenikPredict replaces weeks of research with minutes of simulation.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cases: </w:t>
      </w:r>
      <w:r>
        <w:rPr>
          <w:rFonts w:ascii="Arial" w:cs="Arial" w:eastAsia="Arial" w:hAnsi="Arial"/>
          <w:sz w:val="22"/>
          <w:szCs w:val="22"/>
        </w:rPr>
        <w:t xml:space="preserve">Crisis comms pre-testing, product launch readiness, investor presentation impact, regulatory announcement preview, M&amp;A communication planning.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makers: </w:t>
      </w:r>
      <w:r>
        <w:rPr>
          <w:rFonts w:ascii="Arial" w:cs="Arial" w:eastAsia="Arial" w:hAnsi="Arial"/>
          <w:sz w:val="22"/>
          <w:szCs w:val="22"/>
        </w:rPr>
        <w:t xml:space="preserve">CMO, VP Communications, Head of Public Affairs, Chief Strategy Officer.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cycle: </w:t>
      </w:r>
      <w:r>
        <w:rPr>
          <w:rFonts w:ascii="Arial" w:cs="Arial" w:eastAsia="Arial" w:hAnsi="Arial"/>
          <w:sz w:val="22"/>
          <w:szCs w:val="22"/>
        </w:rPr>
        <w:t xml:space="preserve">4–8 weeks with POC. Typically enter via free trial, convert after 2–3 successful simulations.</w:t>
      </w:r>
    </w:p>
    <w:p>
      <w:pPr>
        <w:pStyle w:val="Heading2"/>
      </w:pPr>
      <w:r>
        <w:t xml:space="preserve">3.2 Agency Segment ($200–$800/mo)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 agencies, digital marketing firms, political consultancies. They need to validate creative work before presenting to clients. AgenikPredict becomes a differentiator they can sell to their own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cases: </w:t>
      </w:r>
      <w:r>
        <w:rPr>
          <w:rFonts w:ascii="Arial" w:cs="Arial" w:eastAsia="Arial" w:hAnsi="Arial"/>
          <w:sz w:val="22"/>
          <w:szCs w:val="22"/>
        </w:rPr>
        <w:t xml:space="preserve">Campaign pre-testing, pitch support ("we simulated 5,000 reactions"), content calendar optimization, brand safety audit.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makers: </w:t>
      </w:r>
      <w:r>
        <w:rPr>
          <w:rFonts w:ascii="Arial" w:cs="Arial" w:eastAsia="Arial" w:hAnsi="Arial"/>
          <w:sz w:val="22"/>
          <w:szCs w:val="22"/>
        </w:rPr>
        <w:t xml:space="preserve">Account Directors, Strategy Leads, Creative Directors.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cycle: </w:t>
      </w:r>
      <w:r>
        <w:rPr>
          <w:rFonts w:ascii="Arial" w:cs="Arial" w:eastAsia="Arial" w:hAnsi="Arial"/>
          <w:sz w:val="22"/>
          <w:szCs w:val="22"/>
        </w:rPr>
        <w:t xml:space="preserve">1–2 weeks. Fast adoption once they see the demo.</w:t>
      </w:r>
    </w:p>
    <w:p>
      <w:pPr>
        <w:pStyle w:val="Heading2"/>
      </w:pPr>
      <w:r>
        <w:t xml:space="preserve">3.3 SMB / Creator Segment ($29–$99/mo)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Startups, independent consultants, content creators, journalists, academic researchers. Price-sensitive but high-volume. They are the viral growth engine — they share results on social media.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cases: </w:t>
      </w:r>
      <w:r>
        <w:rPr>
          <w:rFonts w:ascii="Arial" w:cs="Arial" w:eastAsia="Arial" w:hAnsi="Arial"/>
          <w:sz w:val="22"/>
          <w:szCs w:val="22"/>
        </w:rPr>
        <w:t xml:space="preserve">Blog post impact testing, YouTube video reaction preview, startup pitch validation, thesis hypothesis testing.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makers: </w:t>
      </w:r>
      <w:r>
        <w:rPr>
          <w:rFonts w:ascii="Arial" w:cs="Arial" w:eastAsia="Arial" w:hAnsi="Arial"/>
          <w:sz w:val="22"/>
          <w:szCs w:val="22"/>
        </w:rPr>
        <w:t xml:space="preserve">Founder, content creator (self-serve).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cycle: </w:t>
      </w:r>
      <w:r>
        <w:rPr>
          <w:rFonts w:ascii="Arial" w:cs="Arial" w:eastAsia="Arial" w:hAnsi="Arial"/>
          <w:sz w:val="22"/>
          <w:szCs w:val="22"/>
        </w:rPr>
        <w:t xml:space="preserve">Instant. Sign up → upload → pay after free tier.</w:t>
      </w:r>
    </w:p>
    <w:p>
      <w:pPr>
        <w:pStyle w:val="Heading2"/>
      </w:pPr>
      <w:r>
        <w:t xml:space="preserve">3.4 Government / NGO Segment (Custom pricing)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Government communication departments, international organizations, think tanks. Long sales cycles but high contract values ($5K–$50K/year). Especially relevant in Israel (defense/security comms), DACH (policy simulation), and MENA (government messaging).</w:t>
      </w:r>
    </w:p>
    <w:p>
      <w:r>
        <w:br w:type="page"/>
      </w:r>
    </w:p>
    <w:p>
      <w:pPr>
        <w:pStyle w:val="Heading1"/>
      </w:pPr>
      <w:r>
        <w:t xml:space="preserve">4. Go-to-Market Strategy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core strategy is "Digital-First, Everywhere at Once." We launch all 12 languages on day one, run parallel marketing campaigns adapted to each region, and use AI-generated video (HeyGen) to create native-quality content without local production teams.</w:t>
      </w:r>
    </w:p>
    <w:p>
      <w:pPr>
        <w:pStyle w:val="Heading2"/>
      </w:pPr>
      <w:r>
        <w:t xml:space="preserve">4.1 Launch Architecture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Phase 0 — Stealth Prep (Weeks 1–4):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Complete localization QA for all 12 languages. Record English master videos for HeyGen. Set up region-specific landing pages (agenikpredict.com/de, /fr, /ar, etc.). Configure analytics with UTM per region. Prepare 50+ pieces of launch content. Set up region-specific social accounts.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Phase 1 — Simultaneous Soft Launch (Weeks 5–8):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Open registration in all markets. Launch with Product Hunt (EN), Habr (RU), various regional tech communities. Initial outreach to 200 hand-picked beta users across all regions (25 per priority market). Collect NPS and iterate.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Phase 2 — Paid Acceleration (Weeks 9–16):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Activate paid campaigns on Google, LinkedIn, Meta, Twitter/X, and region-specific platforms (Yandex, Xing/Kununu for DACH, etc.). Deploy HeyGen video ads in all 12 languages. Launch affiliate program. Begin agency partnership outreach.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Phase 3 — Expansion &amp; Enterprise (Weeks 17–36):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Enterprise sales pipeline. Conference presence (Web Summit, DMEXCO, Viva Technology, etc.). Strategic partnerships with Salesforce/HubSpot ecosystem. Custom API for agency white-label. Government tenders (Israel, EU).</w:t>
      </w:r>
    </w:p>
    <w:p>
      <w:pPr>
        <w:pStyle w:val="Heading2"/>
      </w:pPr>
      <w:r>
        <w:t xml:space="preserve">4.2 Channel Strategy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Platforms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Ads, Google SEM, Product Hunt, X/Twitter, podcasts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 thought leadership, case studies, "future of PR" narrative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X, Reddit, Substack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Israel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IL, Facebook groups, 8200/Unit alumni networks, Calcalist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Hebrew + English dual content, startup ecosystem positioning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Facebook, Telegram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DACH, Xing, Google DE, industry trade press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German formal (Sie), data privacy emphasis, Impressum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Xing, Handelsblatt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FR, Google FR, BPI France ecosystem, Les Echos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French content, CNIL compliance messaging, "innovation" angle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X, BFM Business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Italy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IT, Google IT, Corriere della Sera tech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Italian content, design/fashion industry use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Instagram, Il Sole 24 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Benelux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NL/BE, Dutch tech blogs, Tweakers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Dutch content, pragmatic tone, EU hub positioning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Tweakers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Spain + LatAm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ES, Google ES, Meta (LatAm), Infobae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Informal tú, separate content for Spain vs LatAm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X, Instagram, WhatsApp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 + Portugal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PT/BR, Google BR, Meta, Folha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Brazilian PT (primary), separate from Portugal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Instagram, WhatsApp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Habr, VK, Telegram, Yandex Direct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Russian content, technical depth on Habr, case studies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Telegram, VK, Habr, Yandex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PL, Google PL, Wyborcza tech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Polish content, EU compliance angle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Facebook, Wykop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MENA, Google AR, X (MENA), Al Jazeera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Arabic (MSA), gov communication angle, RTL-native 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X, WhatsApp, Telegram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TR, Google TR, Hurriyet tech, Eksi Sozluk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Turkish content, e-commerce focus, local case studies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LinkedIn, X, Instagram, Eksi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Content Marketing Engine</w:t>
      </w:r>
    </w:p>
    <w:p>
      <w:pPr>
        <w:pStyle w:val="Heading2"/>
      </w:pPr>
      <w:r>
        <w:t xml:space="preserve">5.1 The 3-Layer Content Pyramid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content is produced in English first, then adapted (not just translated) for each market using native speakers + AI translation review. HeyGen handles video localization with avatar lip-sync in all 12 languages.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Layer 1 — Hero Content (monthly):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Original research reports, industry prediction audits ("We simulated 10,000 reactions to Apple's latest keynote"), video deep-dives. These generate backlinks, press coverage, and social sharing.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Layer 2 — Hub Content (weekly):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Blog posts, case studies, how-to guides, comparison articles ("AgenikPredict vs. Traditional Focus Groups"), webinars. These drive SEO and nurture leads.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Layer 3 — Hygiene Content (daily):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Social media posts, short-form video (HeyGen Reels/Shorts), email drip campaigns, community engagement on Reddit/Habr/Telegram. These maintain visibility.</w:t>
      </w:r>
    </w:p>
    <w:p>
      <w:pPr>
        <w:pStyle w:val="Heading2"/>
      </w:pPr>
      <w:r>
        <w:t xml:space="preserve">5.2 HeyGen Video Production at Scale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HeyGen is the force multiplier that makes simultaneous 12-language launch economically viable. One English master video becomes 12 localized videos with lip-synced avatar, native subtitles, and culturally adapted CTAs.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Total/Month (x12 langs)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Hero Explainer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1x/month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Case Demos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2x/month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30–45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Testimonial/Case 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2x/month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45–60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Social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4x/month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masters/month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108 localized videos/month</w:t>
            </w:r>
          </w:p>
        </w:tc>
      </w:tr>
    </w:tbl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Cost: HeyGen Creator Plan $48/month + ~$100/month for extra credits = ~$150/month for 108 localized videos. Compared to traditional video production ($2K–$10K per video per language), this is a 99% cost reduction.</w:t>
      </w:r>
    </w:p>
    <w:p>
      <w:pPr>
        <w:pStyle w:val="Heading2"/>
      </w:pPr>
      <w:r>
        <w:t xml:space="preserve">5.3 SEO Strategy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Deploy 12 language-specific subdirectories with hreflang tags. Each market gets localized keyword research and content adapted for local search intent. Target keywords include market-specific variations of: AI prediction, public opinion analysis, social simulation, content testing, PR analytics, focus group alternative.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 Volume (est.)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public opinion analysis, predict public reaction, social simulation 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12K–25K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 Meinungsanalyse, öffentliche Reaktion vorhersagen, Social 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2K–5K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analyse opinion publique IA, simuler réaction publique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1.5K–3K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análisis opinión pública IA, simular reacción social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3K–7K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Arabic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تحليل الرأي العام بالذكاء الاصطناعي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800–2K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Russian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анализ общественного мнения ИИ, социальная симуляция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1K–3K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Paid Acquisition Strategy</w:t>
      </w:r>
    </w:p>
    <w:p>
      <w:pPr>
        <w:pStyle w:val="Heading2"/>
      </w:pPr>
      <w:r>
        <w:t xml:space="preserve">6.1 Budget Allocation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Budget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Mo. 1–6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Mo. 7–18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Search/Display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$15–$40 per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$2.5K/mo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$30–$60 per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 (FB/IG)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$1.5K/mo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$8–$20 per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$2.5K/mo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$10–$25 per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platforms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$2.5K/mo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Sponsorships/Podcasts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$20–$50 per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$10K/mo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$27K/mo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Blended: $18–$35</w:t>
            </w:r>
          </w:p>
        </w:tc>
      </w:tr>
    </w:tbl>
    <w:p>
      <w:pPr>
        <w:pStyle w:val="Heading2"/>
      </w:pPr>
      <w:r>
        <w:t xml:space="preserve">6.2 Creative Strategy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ad creatives follow the "Don't Predict — Rehearse" narrative. Three creative angles rotate across all markets: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Angle A — The Speed Angle: </w:t>
      </w:r>
      <w:r>
        <w:rPr>
          <w:rFonts w:ascii="Arial" w:cs="Arial" w:eastAsia="Arial" w:hAnsi="Arial"/>
          <w:sz w:val="22"/>
          <w:szCs w:val="22"/>
        </w:rPr>
        <w:t xml:space="preserve">"What used to take 6 weeks and $50K now takes 3 minutes." Targets enterprise buyers frustrated with slow focus group cycles.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Angle B — The Fear Angle: </w:t>
      </w:r>
      <w:r>
        <w:rPr>
          <w:rFonts w:ascii="Arial" w:cs="Arial" w:eastAsia="Arial" w:hAnsi="Arial"/>
          <w:sz w:val="22"/>
          <w:szCs w:val="22"/>
        </w:rPr>
        <w:t xml:space="preserve">"Your competitor just tested their campaign on 10,000 simulated people. You're still guessing." Targets competitive FOMO in agency and marketing roles.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Angle C — The Curiosity Angle: </w:t>
      </w:r>
      <w:r>
        <w:rPr>
          <w:rFonts w:ascii="Arial" w:cs="Arial" w:eastAsia="Arial" w:hAnsi="Arial"/>
          <w:sz w:val="22"/>
          <w:szCs w:val="22"/>
        </w:rPr>
        <w:t xml:space="preserve">"Upload any content and watch 1,000 AI personas react in real time." Targets SMB/creator segment with product-led growth hook.</w:t>
      </w:r>
    </w:p>
    <w:p>
      <w:pPr>
        <w:pStyle w:val="Heading2"/>
      </w:pPr>
      <w:r>
        <w:t xml:space="preserve">6.3 Regional Ad Spend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Mo.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$3.5K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$9.5K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Largest TAM, English content reuse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LTV, low competition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Israel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$2.7K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market, network 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Western Europe (FR/IT/NL)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combined TAM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Spanish-speaking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$2.7K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LatAm volume + Spain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CIS + Poland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CPC, community-driven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MENA + Turkey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Emerging, low competition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Portuguese-speaking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 growth potential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Partnerships &amp; Distribution</w:t>
      </w:r>
    </w:p>
    <w:p>
      <w:pPr>
        <w:pStyle w:val="Heading2"/>
      </w:pPr>
      <w:r>
        <w:t xml:space="preserve">7.1 Strategic Partnership Tiers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Tier 1 — Technology Integration Partners: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Salesforce AppExchange, HubSpot Marketplace, Hootsuite App Directory, Meltwater integration. These put AgenikPredict inside existing workflows of our target customers. Estimated 6-month pipeline: 300–500 qualified leads.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Tier 2 — Agency Reseller Partners: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White-label API access for top-50 PR agencies in each market. Agency gets 20% rev share, we get enterprise-grade distribution. Target: 10 agency partners by month 12.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Tier 3 — Academic &amp; Research Partners: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Free / heavily discounted access for universities and think tanks in exchange for published research using AgenikPredict. Builds credibility and generates organic press. Target: 25 institutions by month 12.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Tier 4 — Government Procurement: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Israel (MAFAT/Innovation Authority), EU Horizon grants, US SBIR/STTR. Long cycle (6–12 months) but high contract value.</w:t>
      </w:r>
    </w:p>
    <w:p>
      <w:pPr>
        <w:pStyle w:val="Heading2"/>
      </w:pPr>
      <w:r>
        <w:t xml:space="preserve">7.2 Affiliate Program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Launch a public affiliate program from day one. Structure: 25% recurring commission for 12 months on referred paying customers. This is deliberately generous to incentivize influencers and bloggers in all 12 language markets.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 up, share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 recurring x 12mo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 (10+ referrals)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30% recurring x 12mo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(50+ referrals)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35% recurring x 12mo + dedicated support</w:t>
            </w:r>
          </w:p>
        </w:tc>
      </w:tr>
    </w:tbl>
    <w:p>
      <w:pPr>
        <w:pStyle w:val="Heading2"/>
      </w:pPr>
      <w:r>
        <w:t xml:space="preserve">7.3 Conference &amp; Event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Summit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(Lisbon)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 awareness, press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DMEXCO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DACH (Cologne)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leads, DACH market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Viva 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France (Paris)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French market entry, EU press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DLD Tel Aviv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Israel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market, investor 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SaaS North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STEP Conference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MENA (Dubai)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Feb 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Arabic market, Gulf 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LatAm SaaS Conference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Brazil/Spanish market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Pricing Strategy</w:t>
      </w:r>
    </w:p>
    <w:p>
      <w:pPr>
        <w:pStyle w:val="Heading2"/>
      </w:pPr>
      <w:r>
        <w:t xml:space="preserve">8.1 Global Pricing Tiers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Pricing is denominated in USD globally. For MENA, CIS, LatAm, and Turkey, we offer Purchasing Power Parity (PPP) discounts via automatic geo-detection — typically 30–50% off base price. This ensures accessibility while maintaining premium positioning in high-income markets.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Agents/Sim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Read-only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$299/mo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Dedicated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10,000+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12 + custom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+ white-label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</w:t>
            </w:r>
          </w:p>
        </w:tc>
      </w:tr>
    </w:tbl>
    <w:p>
      <w:pPr>
        <w:pStyle w:val="Heading2"/>
      </w:pPr>
      <w:r>
        <w:t xml:space="preserve">8.2 PPP Discount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PPP Discount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Starter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USA, EU, Israel, DACH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Spain, Italy, Poland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LatAm, Turkey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CIS, MENA (non-Gulf)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$17/mo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$20/mo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Regulatory &amp; Legal Compliance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AgenikPredict operates as a SaaS analytics tool — classified as "minimal risk" under the EU AI Act (no autonomous decision-making, no biometric processing, no critical infrastructure). However, each region has specific compliance requirements that must be met before launch.</w:t>
      </w:r>
    </w:p>
    <w:p>
      <w:pPr>
        <w:pStyle w:val="Heading2"/>
      </w:pPr>
      <w:r>
        <w:t xml:space="preserve">9.1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Regulations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CCPA/CPRA, Section 230, state AI laws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 Policy, CCPA opt-out, 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Done (Privacy Policy exists)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EU/EEA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GDPR, EU AI Act, ePrivacy, DSA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DPA, cookie consent, DPIA, Impressum (DE), AI Act transparency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 — need cookie banner, Impressum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Israel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 Protection Act, Amendment 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PPA registration, data security measures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Done (Privacy Policy covers)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UK GDPR, Online Safety 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ICO registration, cookie consent, UK representative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Brazil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LGPD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DPO designation, consent mechanisms, ANPD 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KVKK (Law 6698)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VERBiS registration, local data processing notice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MENA (UAE/KSA)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DIFC Data Protection Law, PDPL (KSA)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privacy notices, Arabic 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Russia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Federal Law 152-FZ, Roskomnadzor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localization consideration, RU privacy notice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+ local UODO guidance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Polish privacy notice, UODO 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</w:pPr>
      <w:r>
        <w:t xml:space="preserve">9.2 AGPL-3.0 Compliance (Critical)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AgenikPredict is a commercial fork of MiroFish (AGPL-3.0). AGPL requires that the complete source code be made publicly available to any network user. This is a P0 blocker for launch: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1: </w:t>
      </w:r>
      <w:r>
        <w:rPr>
          <w:rFonts w:ascii="Arial" w:cs="Arial" w:eastAsia="Arial" w:hAnsi="Arial"/>
          <w:sz w:val="22"/>
          <w:szCs w:val="22"/>
        </w:rPr>
        <w:t xml:space="preserve">Create a public GitHub repository with full source code (or a separate AGPL-compliant repo with the modified codebase).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2: </w:t>
      </w:r>
      <w:r>
        <w:rPr>
          <w:rFonts w:ascii="Arial" w:cs="Arial" w:eastAsia="Arial" w:hAnsi="Arial"/>
          <w:sz w:val="22"/>
          <w:szCs w:val="22"/>
        </w:rPr>
        <w:t xml:space="preserve">Add a "Source Code" link in the application footer on every page, linking to the repository.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3: </w:t>
      </w:r>
      <w:r>
        <w:rPr>
          <w:rFonts w:ascii="Arial" w:cs="Arial" w:eastAsia="Arial" w:hAnsi="Arial"/>
          <w:sz w:val="22"/>
          <w:szCs w:val="22"/>
        </w:rPr>
        <w:t xml:space="preserve">Include a LICENSE file with the full AGPL-3.0 text and a NOTICE file crediting MiroFish.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2"/>
          <w:szCs w:val="22"/>
        </w:rPr>
        <w:t xml:space="preserve">Failure to comply with AGPL can result in license termination and legal action from any copyright holder. This must be resolved before public launch.</w:t>
      </w:r>
    </w:p>
    <w:p>
      <w:r>
        <w:br w:type="page"/>
      </w:r>
    </w:p>
    <w:p>
      <w:pPr>
        <w:pStyle w:val="Heading1"/>
      </w:pPr>
      <w:r>
        <w:t xml:space="preserve">10. Team &amp; Operational Structure</w:t>
      </w:r>
    </w:p>
    <w:p>
      <w:pPr>
        <w:pStyle w:val="Heading2"/>
      </w:pPr>
      <w:r>
        <w:t xml:space="preserve">10.1 Core Team (In-house)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 / Product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Strategy, product, fundraising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development, 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acquisition, analytics, 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Marketer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Blog, social, email,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Full-time /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 (Enterprise)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pipeline, demos, closing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Full-time</w:t>
            </w:r>
          </w:p>
        </w:tc>
      </w:tr>
    </w:tbl>
    <w:p>
      <w:pPr>
        <w:pStyle w:val="Heading2"/>
      </w:pPr>
      <w:r>
        <w:t xml:space="preserve">10.2 External /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Localization QA (12 langs)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translations, cultural adaptation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$3K–$5K one-time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Fiverr Pro / Upwork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DPA, Impressum, KVKK, LGPD filings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$5K–$10K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law firms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Graphic 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 creatives, social templates, brand 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$2K/mo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Dribbble / Upwork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Community Managers (3–5)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Telegram/Discord/Slack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$500–$1K/mo 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hires, part-time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 Agency (launch)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Launch press release distribution, media pitching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$3K–$5K one-time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PR firms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Consolidated Budget</w:t>
      </w:r>
    </w:p>
    <w:p>
      <w:pPr>
        <w:pStyle w:val="Heading2"/>
      </w:pPr>
      <w:r>
        <w:t xml:space="preserve">11.1 Phase 1 Budget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Acquisition (all channels)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Production (writers, designers)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HeyGen + Video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Localization QA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Tools &amp; SaaS (analytics, email, CRM)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Community Managers (3 regions)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 Launch Campaign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Infrastructure (hosting, APIs, LLM)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~$18K/mo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$123,900</w:t>
            </w:r>
          </w:p>
        </w:tc>
      </w:tr>
    </w:tbl>
    <w:p>
      <w:pPr>
        <w:pStyle w:val="Heading2"/>
      </w:pPr>
      <w:r>
        <w:t xml:space="preserve">11.2 Phase 2 Budget (Months 7–18)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Acquisition (scaled)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$324,000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&amp; Design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HeyGen +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Sales Hire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$96,000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Conferences &amp;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Community Managers (5 regions)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Tools, SaaS, Infra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$42,000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Commissions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$36,000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~$53K/mo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$632,400</w:t>
            </w:r>
          </w:p>
        </w:tc>
      </w:tr>
    </w:tbl>
    <w:p>
      <w:pPr>
        <w:pStyle w:val="Heading2"/>
      </w:pPr>
      <w:r>
        <w:t xml:space="preserve">11.3 18-Month Total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(Months 1–6)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$123,900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 (Months 7–18)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$632,400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18-Month 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$756,300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ARR at Month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$2,400,000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Projected 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22–26 months</w:t>
            </w:r>
          </w:p>
        </w:tc>
      </w:tr>
    </w:tbl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Note: Budget excludes founder salaries and core engineering team costs (assumed covered by existing runway or investment). All figures in USD.</w:t>
      </w:r>
    </w:p>
    <w:p>
      <w:r>
        <w:br w:type="page"/>
      </w:r>
    </w:p>
    <w:p>
      <w:pPr>
        <w:pStyle w:val="Heading1"/>
      </w:pPr>
      <w:r>
        <w:t xml:space="preserve">12. KPIs &amp; Measurement Framework</w:t>
      </w:r>
    </w:p>
    <w:p>
      <w:pPr>
        <w:pStyle w:val="Heading2"/>
      </w:pPr>
      <w:r>
        <w:t xml:space="preserve">12.1 North Star Metric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Simulations Run Per Week (SRW). This is the single metric that correlates most strongly with retention, revenue, and word-of-mouth growth. A user who runs 2+ simulations/week has a 78% likelihood of converting to paid within 30 days (based on comparable SaaS benchmarks).</w:t>
      </w:r>
    </w:p>
    <w:p>
      <w:pPr>
        <w:pStyle w:val="Heading2"/>
      </w:pPr>
      <w:r>
        <w:t xml:space="preserve">12.2 Regional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W. EU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Signups (Mo. 6)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Trial→Paid 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Avg. Revenue/User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LTV/CAC Target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Target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&gt;45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&gt;35</w:t>
            </w:r>
          </w:p>
        </w:tc>
      </w:tr>
    </w:tbl>
    <w:p>
      <w:pPr>
        <w:pStyle w:val="Heading2"/>
      </w:pPr>
      <w:r>
        <w:t xml:space="preserve">12.3 Weekly Review Cadence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Monday: review regional dashboards. Every month: deep-dive per-region analysis with channel attribution. Quarterly: strategic review with budget reallocation based on CAC/LTV by region. Kill underperforming regions (&gt;$80 CAC with &lt;$200 LTV) and reinvest in winners.</w:t>
      </w:r>
    </w:p>
    <w:p>
      <w:r>
        <w:br w:type="page"/>
      </w:r>
    </w:p>
    <w:p>
      <w:pPr>
        <w:pStyle w:val="Heading1"/>
      </w:pPr>
      <w:r>
        <w:t xml:space="preserve">13. Risk Analysis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AGPL non-compliance discovered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Publish source code before launch (P0)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complaint / fine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DPA + cookie consent + DPIA before EU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cost spike (Claude API)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Multi-provider fallback (OpenRouter), caching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adoption in specific region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Quarterly kill/scale decision per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Competitor launches similar product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Speed-to-market, 12-lang moat, community lock-in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Translation quality issues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Native speaker QA per language, community feedback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Simulation bias / controversy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Transparent methodology page, bias audit, academic 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processing in CIS/MENA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(primary) + Paddle (fallback) + crypto 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moderation at scale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content screening, ToS enforcement, abuse 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everything, hire #2 early, cross-train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18-Month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AGPL compliance, cookie banner, Impressum, localization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backlog (50 pieces), HeyGen master videos, social accounts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filings (GDPR, KVKK, LGPD), affiliate program setup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integration (Stripe), PPP pricing, free tier polish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Hunt launch, Habr post, regional PR blast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200 beta users, NPS survey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v1 (read-only), performance optimization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ads go live (all regions), first case studies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program public launch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API, webhooks, Zapier integration, team 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SEO ramp, weekly blog + video cadence, community 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10 agency partners, 200 paying customers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7–9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Salesforce/HubSpot integration, white-label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 paid to $27K/mo, first conference (Viva Tech)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sales pipeline, first gov leads (IL)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agent personas, industry templates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DMEXCO + DLD, 108 videos/mo cadence, PR agency wave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 paying customers, agency white-label live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13–15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Advanced analytics dashboard, A/B simulation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ambassador programs, academic partnerships go live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Government contracts (IL, EU), Series A preparation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16–18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app (MVP), real-time simulation streaming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Summit, LatAm conference, 150+ videos/mo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 customers, $200K MRR, fundraise if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Pre-Launch Checklist</w:t>
      </w:r>
    </w:p>
    <w:p>
      <w:pPr>
        <w:spacing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items must be completed before the simultaneous global launch:</w:t>
      </w:r>
    </w:p>
    <w:p>
      <w:pPr>
        <w:pStyle w:val="Heading2"/>
      </w:pPr>
      <w:r>
        <w:t xml:space="preserve">P0 — Launch Blockers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AGPL Compliance: </w:t>
      </w:r>
      <w:r>
        <w:rPr>
          <w:rFonts w:ascii="Arial" w:cs="Arial" w:eastAsia="Arial" w:hAnsi="Arial"/>
          <w:sz w:val="22"/>
          <w:szCs w:val="22"/>
        </w:rPr>
        <w:t xml:space="preserve">Public GitHub repo + source code link in footer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Cookie Consent Banner: </w:t>
      </w:r>
      <w:r>
        <w:rPr>
          <w:rFonts w:ascii="Arial" w:cs="Arial" w:eastAsia="Arial" w:hAnsi="Arial"/>
          <w:sz w:val="22"/>
          <w:szCs w:val="22"/>
        </w:rPr>
        <w:t xml:space="preserve">GDPR-compliant, all 12 languages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German Impressum: </w:t>
      </w:r>
      <w:r>
        <w:rPr>
          <w:rFonts w:ascii="Arial" w:cs="Arial" w:eastAsia="Arial" w:hAnsi="Arial"/>
          <w:sz w:val="22"/>
          <w:szCs w:val="22"/>
        </w:rPr>
        <w:t xml:space="preserve">Required by law for any website accessible from Germany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Payment Integration: </w:t>
      </w:r>
      <w:r>
        <w:rPr>
          <w:rFonts w:ascii="Arial" w:cs="Arial" w:eastAsia="Arial" w:hAnsi="Arial"/>
          <w:sz w:val="22"/>
          <w:szCs w:val="22"/>
        </w:rPr>
        <w:t xml:space="preserve">Stripe with PPP geo-detection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Localization QA: </w:t>
      </w:r>
      <w:r>
        <w:rPr>
          <w:rFonts w:ascii="Arial" w:cs="Arial" w:eastAsia="Arial" w:hAnsi="Arial"/>
          <w:sz w:val="22"/>
          <w:szCs w:val="22"/>
        </w:rPr>
        <w:t xml:space="preserve">Native speaker review for all 12 languages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Privacy Policy: </w:t>
      </w:r>
      <w:r>
        <w:rPr>
          <w:rFonts w:ascii="Arial" w:cs="Arial" w:eastAsia="Arial" w:hAnsi="Arial"/>
          <w:sz w:val="22"/>
          <w:szCs w:val="22"/>
        </w:rPr>
        <w:t xml:space="preserve">Updated for all jurisdictions (already exists, needs expansion)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Terms of Service: </w:t>
      </w:r>
      <w:r>
        <w:rPr>
          <w:rFonts w:ascii="Arial" w:cs="Arial" w:eastAsia="Arial" w:hAnsi="Arial"/>
          <w:sz w:val="22"/>
          <w:szCs w:val="22"/>
        </w:rPr>
        <w:t xml:space="preserve">Multi-jurisdiction ToS (already exists, needs expansion)</w:t>
      </w:r>
    </w:p>
    <w:p>
      <w:pPr>
        <w:pStyle w:val="Heading2"/>
      </w:pPr>
      <w:r>
        <w:t xml:space="preserve">P1 — Launch Week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Product Hunt submission: </w:t>
      </w:r>
      <w:r>
        <w:rPr>
          <w:rFonts w:ascii="Arial" w:cs="Arial" w:eastAsia="Arial" w:hAnsi="Arial"/>
          <w:sz w:val="22"/>
          <w:szCs w:val="22"/>
        </w:rPr>
        <w:t xml:space="preserve">Prepared with all assets, hunter identified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Habr article: </w:t>
      </w:r>
      <w:r>
        <w:rPr>
          <w:rFonts w:ascii="Arial" w:cs="Arial" w:eastAsia="Arial" w:hAnsi="Arial"/>
          <w:sz w:val="22"/>
          <w:szCs w:val="22"/>
        </w:rPr>
        <w:t xml:space="preserve">Technical deep-dive in Russian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HeyGen videos: </w:t>
      </w:r>
      <w:r>
        <w:rPr>
          <w:rFonts w:ascii="Arial" w:cs="Arial" w:eastAsia="Arial" w:hAnsi="Arial"/>
          <w:sz w:val="22"/>
          <w:szCs w:val="22"/>
        </w:rPr>
        <w:t xml:space="preserve">Hero explainer in all 12 languages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Press release: </w:t>
      </w:r>
      <w:r>
        <w:rPr>
          <w:rFonts w:ascii="Arial" w:cs="Arial" w:eastAsia="Arial" w:hAnsi="Arial"/>
          <w:sz w:val="22"/>
          <w:szCs w:val="22"/>
        </w:rPr>
        <w:t xml:space="preserve">Distributed via PR Newswire + regional PR partners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Social media accounts: </w:t>
      </w:r>
      <w:r>
        <w:rPr>
          <w:rFonts w:ascii="Arial" w:cs="Arial" w:eastAsia="Arial" w:hAnsi="Arial"/>
          <w:sz w:val="22"/>
          <w:szCs w:val="22"/>
        </w:rPr>
        <w:t xml:space="preserve">Active on LinkedIn, X, regional platforms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Affiliate program: </w:t>
      </w:r>
      <w:r>
        <w:rPr>
          <w:rFonts w:ascii="Arial" w:cs="Arial" w:eastAsia="Arial" w:hAnsi="Arial"/>
          <w:sz w:val="22"/>
          <w:szCs w:val="22"/>
        </w:rPr>
        <w:t xml:space="preserve">Portal live, tracking working, first 20 affiliates onboarded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Email sequences: </w:t>
      </w:r>
      <w:r>
        <w:rPr>
          <w:rFonts w:ascii="Arial" w:cs="Arial" w:eastAsia="Arial" w:hAnsi="Arial"/>
          <w:sz w:val="22"/>
          <w:szCs w:val="22"/>
        </w:rPr>
        <w:t xml:space="preserve">Onboarding drip (12 languages) + trial-to-paid nurture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Analytics: </w:t>
      </w:r>
      <w:r>
        <w:rPr>
          <w:rFonts w:ascii="Arial" w:cs="Arial" w:eastAsia="Arial" w:hAnsi="Arial"/>
          <w:sz w:val="22"/>
          <w:szCs w:val="22"/>
        </w:rPr>
        <w:t xml:space="preserve">Mixpanel/Amplitude + Google Analytics 4 with regional segments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Demo account: </w:t>
      </w:r>
      <w:r>
        <w:rPr>
          <w:rFonts w:ascii="Arial" w:cs="Arial" w:eastAsia="Arial" w:hAnsi="Arial"/>
          <w:sz w:val="22"/>
          <w:szCs w:val="22"/>
        </w:rPr>
        <w:t xml:space="preserve">Working demo login for prospects (already built)</w:t>
      </w:r>
    </w:p>
    <w:p>
      <w:pPr>
        <w:spacing w:before="600"/>
      </w:pPr>
    </w:p>
    <w:p>
      <w:pPr>
        <w:pBdr>
          <w:top w:val="single" w:color="E0E0E0" w:sz="1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Manogrand Inc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AgenikPredict — Global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2026-03-16T04:47:06.994Z</dcterms:created>
  <dcterms:modified xsi:type="dcterms:W3CDTF">2026-03-16T04:47:06.994Z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