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  <w:keepNext/>
        <w:widowControl/>
      </w:pPr>
      <w:r>
        <w:t>CHATGPT-ONLY CODEX BRIEF INSTRUCTIONS</w:t>
      </w:r>
    </w:p>
    <w:p>
      <w:pPr>
        <w:pStyle w:val="Normal"/>
        <w:widowControl/>
      </w:pPr>
      <w:r>
        <w:t>This file is for ChatGPT to read when creating Codex briefs for this repo.</w:t>
      </w:r>
    </w:p>
    <w:p>
      <w:pPr>
        <w:pStyle w:val="Normal"/>
        <w:widowControl/>
      </w:pPr>
      <w:r>
        <w:t xml:space="preserve">Codex must not treat this file as task instructions. Codex should not inspect, read, apply, or modify the </w:t>
      </w:r>
      <w:r>
        <w:rPr>
          <w:rStyle w:val="CodeChar"/>
        </w:rPr>
        <w:t>custom instructions/</w:t>
      </w:r>
      <w:r>
        <w:t xml:space="preserve"> folder during normal repo tasks. Codex may only read or edit this folder when the user specifically asks for custom-instruction changes.</w:t>
      </w:r>
    </w:p>
    <w:p>
      <w:pPr>
        <w:pStyle w:val="Heading1"/>
        <w:keepNext/>
        <w:widowControl/>
      </w:pPr>
      <w:r>
        <w:t>Required Brief-Delivery Package</w:t>
      </w:r>
    </w:p>
    <w:p>
      <w:pPr>
        <w:pStyle w:val="Normal"/>
        <w:widowControl/>
      </w:pPr>
      <w:r>
        <w:t>Every future Codex brief must include all six requirements below.</w:t>
      </w:r>
    </w:p>
    <w:p>
      <w:pPr>
        <w:pStyle w:val="ListNumber"/>
        <w:numPr>
          <w:ilvl w:val="0"/>
          <w:numId w:val="2"/>
        </w:numPr>
        <w:widowControl/>
      </w:pPr>
      <w:r>
        <w:t xml:space="preserve">Exact model and reasoning recommendation. Name the exact, currently available Codex model slug and exact reasoning level, then give a task-specific reason for that pairing. Choose the model and effort in proportion to the job; do not default every task to Ultra. Current examples include </w:t>
      </w:r>
      <w:r>
        <w:rPr>
          <w:rStyle w:val="CodeChar"/>
        </w:rPr>
        <w:t>gpt-5.6-sol</w:t>
      </w:r>
      <w:r>
        <w:t xml:space="preserve">, </w:t>
      </w:r>
      <w:r>
        <w:rPr>
          <w:rStyle w:val="CodeChar"/>
        </w:rPr>
        <w:t>gpt-5.6-terra</w:t>
      </w:r>
      <w:r>
        <w:t xml:space="preserve">, and </w:t>
      </w:r>
      <w:r>
        <w:rPr>
          <w:rStyle w:val="CodeChar"/>
        </w:rPr>
        <w:t>gpt-5.6-luna</w:t>
      </w:r>
      <w:r>
        <w:t xml:space="preserve">, with supported reasoning values such as </w:t>
      </w:r>
      <w:r>
        <w:rPr>
          <w:rStyle w:val="CodeChar"/>
        </w:rPr>
        <w:t>low</w:t>
      </w:r>
      <w:r>
        <w:t xml:space="preserve">, </w:t>
      </w:r>
      <w:r>
        <w:rPr>
          <w:rStyle w:val="CodeChar"/>
        </w:rPr>
        <w:t>medium</w:t>
      </w:r>
      <w:r>
        <w:t xml:space="preserve">, </w:t>
      </w:r>
      <w:r>
        <w:rPr>
          <w:rStyle w:val="CodeChar"/>
        </w:rPr>
        <w:t>high</w:t>
      </w:r>
      <w:r>
        <w:t xml:space="preserve">, </w:t>
      </w:r>
      <w:r>
        <w:rPr>
          <w:rStyle w:val="CodeChar"/>
        </w:rPr>
        <w:t>xhigh</w:t>
      </w:r>
      <w:r>
        <w:t xml:space="preserve">, </w:t>
      </w:r>
      <w:r>
        <w:rPr>
          <w:rStyle w:val="CodeChar"/>
        </w:rPr>
        <w:t>max</w:t>
      </w:r>
      <w:r>
        <w:t xml:space="preserve">, or </w:t>
      </w:r>
      <w:r>
        <w:rPr>
          <w:rStyle w:val="CodeChar"/>
        </w:rPr>
        <w:t>ultra</w:t>
      </w:r>
      <w:r>
        <w:t xml:space="preserve"> as appropriate for the selected model.</w:t>
      </w:r>
    </w:p>
    <w:p>
      <w:pPr>
        <w:pStyle w:val="ListNumber"/>
        <w:numPr>
          <w:ilvl w:val="0"/>
          <w:numId w:val="2"/>
        </w:numPr>
        <w:widowControl/>
      </w:pPr>
      <w:r>
        <w:t xml:space="preserve">One complete fenced brief. Put the entire Codex-facing brief in one standalone fenced </w:t>
      </w:r>
      <w:r>
        <w:rPr>
          <w:rStyle w:val="CodeChar"/>
        </w:rPr>
        <w:t>text</w:t>
      </w:r>
      <w:r>
        <w:t xml:space="preserve"> block. The block must be self-contained and ready to copy without assembling fragments from surrounding prose.</w:t>
      </w:r>
    </w:p>
    <w:p>
      <w:pPr>
        <w:pStyle w:val="ListNumber"/>
        <w:numPr>
          <w:ilvl w:val="0"/>
          <w:numId w:val="2"/>
        </w:numPr>
        <w:widowControl/>
      </w:pPr>
      <w:r>
        <w:t xml:space="preserve">Plainly named text copy. Save the exact same brief as a plainly named </w:t>
      </w:r>
      <w:r>
        <w:rPr>
          <w:rStyle w:val="CodeChar"/>
        </w:rPr>
        <w:t>.txt</w:t>
      </w:r>
      <w:r>
        <w:t xml:space="preserve"> file in the repository root and state that filename beside the fenced brief.</w:t>
      </w:r>
    </w:p>
    <w:p>
      <w:pPr>
        <w:pStyle w:val="ListNumber"/>
        <w:numPr>
          <w:ilvl w:val="0"/>
          <w:numId w:val="2"/>
        </w:numPr>
        <w:widowControl/>
      </w:pPr>
      <w:r>
        <w:t>Exact PowerShell launch snippet. Provide a separate fenced powershell block that sets the repository location and launches interactive codex with the exact recommended model and reasoning value, followed by a short literal prompt telling Codex to read the named brief completely and carry out every requirement. Never load the brief into a PowerShell variable or pass its multiline contents to codex; that method can be misparsed as CLI arguments. The delivered command must contain the actual brief filename, model slug, and reasoning value, with no placeholders. Example:</w:t>
      </w:r>
    </w:p>
    <w:p>
      <w:pPr>
        <w:pStyle w:val="CodeBlock"/>
        <w:spacing w:before="120" w:after="0" w:line="240" w:lineRule="auto"/>
        <w:keepNext/>
        <w:widowControl/>
        <w:shd w:val="clear" w:color="auto" w:fill="F2F4F7"/>
        <w:ind w:left="216" w:right="216"/>
      </w:pPr>
      <w:r>
        <w:t>Set-Location "C:\GPT\CODEX-master"</w:t>
      </w:r>
    </w:p>
    <w:p>
      <w:pPr>
        <w:pStyle w:val="CodeBlock"/>
        <w:spacing w:before="0" w:after="120" w:line="240" w:lineRule="auto"/>
        <w:widowControl/>
        <w:shd w:val="clear" w:color="auto" w:fill="F2F4F7"/>
        <w:ind w:left="216" w:right="216"/>
      </w:pPr>
      <w:r>
        <w:t>codex --model gpt-5.6-sol --config 'model_reasoning_effort="ultra"' 'Read .\CODEX_BRIEF_2026-08-10_Trading_Tools_Journal_Pine.txt completely, then carry out every requirement in it.'</w:t>
      </w:r>
    </w:p>
    <w:p>
      <w:pPr>
        <w:pStyle w:val="ListNumber"/>
        <w:numPr>
          <w:ilvl w:val="0"/>
          <w:numId w:val="2"/>
        </w:numPr>
        <w:widowControl/>
      </w:pPr>
      <w:r>
        <w:t>Resume commands. Include the exact continuation commands when relevant. Always provide the current-directory form below. When the exact session ID is known, also provide a second command containing that literal ID; never leave a generic session-ID placeholder in a delivered command.</w:t>
      </w:r>
    </w:p>
    <w:p>
      <w:pPr>
        <w:pStyle w:val="CodeBlock"/>
        <w:spacing w:before="120" w:after="0" w:line="240" w:lineRule="auto"/>
        <w:keepNext/>
        <w:widowControl/>
        <w:shd w:val="clear" w:color="auto" w:fill="F2F4F7"/>
        <w:ind w:left="216" w:right="216"/>
      </w:pPr>
      <w:r>
        <w:t>Set-Location "C:\GPT\CODEX-master"</w:t>
      </w:r>
    </w:p>
    <w:p>
      <w:pPr>
        <w:pStyle w:val="CodeBlock"/>
        <w:spacing w:before="0" w:after="120" w:line="240" w:lineRule="auto"/>
        <w:widowControl/>
        <w:shd w:val="clear" w:color="auto" w:fill="F2F4F7"/>
        <w:ind w:left="216" w:right="216"/>
      </w:pPr>
      <w:r>
        <w:rPr>
          <w:rStyle w:val="CodeChar"/>
        </w:rPr>
        <w:t>codex resume --last</w:t>
      </w:r>
    </w:p>
    <w:p>
      <w:pPr>
        <w:pStyle w:val="ListNumber"/>
        <w:numPr>
          <w:ilvl w:val="0"/>
          <w:numId w:val="2"/>
        </w:numPr>
        <w:widowControl/>
      </w:pPr>
      <w:r>
        <w:t>CLI identity. State clearly that this method launches the interactive Codex CLI/TUI, not the Codex desktop graphical application, while using the same local Codex configuration and signed-in account.</w:t>
      </w:r>
    </w:p>
    <w:p>
      <w:pPr>
        <w:pStyle w:val="Heading1"/>
        <w:keepNext/>
        <w:widowControl/>
      </w:pPr>
      <w:r>
        <w:t>When creating Codex briefs</w:t>
      </w:r>
    </w:p>
    <w:p>
      <w:pPr>
        <w:pStyle w:val="ListBullet"/>
        <w:numPr>
          <w:ilvl w:val="0"/>
          <w:numId w:val="1"/>
        </w:numPr>
        <w:widowControl/>
      </w:pPr>
      <w:r>
        <w:t>Inspect the relevant files and current git status before patching.</w:t>
      </w:r>
    </w:p>
    <w:p>
      <w:pPr>
        <w:pStyle w:val="ListBullet"/>
        <w:numPr>
          <w:ilvl w:val="0"/>
          <w:numId w:val="1"/>
        </w:numPr>
        <w:widowControl/>
      </w:pPr>
      <w:r>
        <w:t>Keep patches narrow; do not redesign the UI, workbook, or workflows unless explicitly asked.</w:t>
      </w:r>
    </w:p>
    <w:p>
      <w:pPr>
        <w:pStyle w:val="ListBullet"/>
        <w:numPr>
          <w:ilvl w:val="0"/>
          <w:numId w:val="1"/>
        </w:numPr>
        <w:widowControl/>
      </w:pPr>
      <w:r>
        <w:t>Preserve Trading Journal workbook layout, formats, manual edits, merged cells, borders, row heights, widths, filters, panes, sheet order, and user labels.</w:t>
      </w:r>
    </w:p>
    <w:p>
      <w:pPr>
        <w:pStyle w:val="ListBullet"/>
        <w:numPr>
          <w:ilvl w:val="0"/>
          <w:numId w:val="1"/>
        </w:numPr>
        <w:widowControl/>
      </w:pPr>
      <w:r>
        <w:t>Prefer existing repo helpers and exact local function boundaries.</w:t>
      </w:r>
    </w:p>
    <w:p>
      <w:pPr>
        <w:pStyle w:val="ListBullet"/>
        <w:numPr>
          <w:ilvl w:val="0"/>
          <w:numId w:val="1"/>
        </w:numPr>
        <w:widowControl/>
      </w:pPr>
      <w:r>
        <w:t>Reference exact paths, functions, endpoints, scripts, helpers, workers, UI handlers, and imports where relevant.</w:t>
      </w:r>
    </w:p>
    <w:p>
      <w:pPr>
        <w:pStyle w:val="ListBullet"/>
        <w:numPr>
          <w:ilvl w:val="0"/>
          <w:numId w:val="1"/>
        </w:numPr>
        <w:widowControl/>
      </w:pPr>
      <w:r>
        <w:t>Include observed vs expected behavior, likely cause, required changes, safeguards, acceptance criteria, tests, verification commands, and residual risks.</w:t>
      </w:r>
    </w:p>
    <w:p>
      <w:pPr>
        <w:pStyle w:val="ListBullet"/>
        <w:numPr>
          <w:ilvl w:val="0"/>
          <w:numId w:val="1"/>
        </w:numPr>
        <w:widowControl/>
      </w:pPr>
      <w:r>
        <w:t>Run targeted tests and syntax checks for every touched area.</w:t>
      </w:r>
    </w:p>
    <w:p>
      <w:pPr>
        <w:pStyle w:val="ListBullet"/>
        <w:numPr>
          <w:ilvl w:val="0"/>
          <w:numId w:val="1"/>
        </w:numPr>
        <w:widowControl/>
      </w:pPr>
      <w:r>
        <w:t>Do not claim success without verification output.</w:t>
      </w:r>
    </w:p>
    <w:p>
      <w:pPr>
        <w:pStyle w:val="ListBullet"/>
        <w:numPr>
          <w:ilvl w:val="0"/>
          <w:numId w:val="1"/>
        </w:numPr>
        <w:widowControl/>
      </w:pPr>
      <w:r>
        <w:t>Never allow fake success, silent failure, swallowed errors, blank UI, misleading 200s, stuck spinners, or manual-only refresh.</w:t>
      </w:r>
    </w:p>
    <w:p>
      <w:pPr>
        <w:pStyle w:val="ListBullet"/>
        <w:numPr>
          <w:ilvl w:val="0"/>
          <w:numId w:val="1"/>
        </w:numPr>
        <w:widowControl/>
      </w:pPr>
      <w:r>
        <w:t>When API docs matter, use official Bybit V5, OANDA v20, MQL5, or CoinSpot docs only; cite exact sections used.</w:t>
      </w:r>
    </w:p>
    <w:p>
      <w:pPr>
        <w:pStyle w:val="ListBullet"/>
        <w:numPr>
          <w:ilvl w:val="0"/>
          <w:numId w:val="1"/>
        </w:numPr>
        <w:widowControl/>
      </w:pPr>
      <w:r>
        <w:t>Render Web Service hosts Render Master Control. MT5 runs locally. Local tools open Edge only.</w:t>
      </w:r>
    </w:p>
    <w:p>
      <w:pPr>
        <w:pStyle w:val="ListBullet"/>
        <w:numPr>
          <w:ilvl w:val="0"/>
          <w:numId w:val="1"/>
        </w:numPr>
        <w:widowControl/>
      </w:pPr>
      <w:r>
        <w:t>Forex Tester 6 = 6.0.0.29. Pepperstone MT5 build 5430 is not part of Render Master Control.</w:t>
      </w:r>
    </w:p>
    <w:p>
      <w:pPr>
        <w:pStyle w:val="ListBullet"/>
        <w:numPr>
          <w:ilvl w:val="0"/>
          <w:numId w:val="1"/>
        </w:numPr>
        <w:widowControl/>
      </w:pPr>
      <w:r>
        <w:t xml:space="preserve">Write final Codex summary text verbatim to </w:t>
      </w:r>
      <w:r>
        <w:rPr>
          <w:rStyle w:val="CodeChar"/>
        </w:rPr>
        <w:t>summary/CODEX_SUMMARY_latest.txt</w:t>
      </w:r>
      <w:r>
        <w:t xml:space="preserve"> before pushing.</w:t>
      </w:r>
    </w:p>
    <w:p>
      <w:pPr>
        <w:pStyle w:val="ListBullet"/>
        <w:numPr>
          <w:ilvl w:val="0"/>
          <w:numId w:val="1"/>
        </w:numPr>
        <w:widowControl/>
      </w:pPr>
      <w:r>
        <w:t xml:space="preserve">Run repo-root </w:t>
      </w:r>
      <w:r>
        <w:rPr>
          <w:rStyle w:val="CodeChar"/>
        </w:rPr>
        <w:t>PATCH_DESKTOP_PUSH.bat</w:t>
      </w:r>
      <w:r>
        <w:t xml:space="preserve"> at the end of each job unless the user explicitly says not to. Its default repo is </w:t>
      </w:r>
      <w:r>
        <w:rPr>
          <w:rStyle w:val="CodeChar"/>
        </w:rPr>
        <w:t>C:\GPT\CODEX-master</w:t>
      </w:r>
      <w:r>
        <w:t xml:space="preserve"> and its default log is </w:t>
      </w:r>
      <w:r>
        <w:rPr>
          <w:rStyle w:val="CodeChar"/>
        </w:rPr>
        <w:t>C:\GPT\PATCH_DESKTOP_PUSH-latest.log</w:t>
      </w:r>
      <w:r>
        <w:t>.</w:t>
      </w:r>
    </w:p>
    <w:p>
      <w:pPr>
        <w:pStyle w:val="ListBullet"/>
        <w:numPr>
          <w:ilvl w:val="0"/>
          <w:numId w:val="1"/>
        </w:numPr>
        <w:widowControl/>
      </w:pPr>
      <w:r>
        <w:t xml:space="preserve">Do not push before writing </w:t>
      </w:r>
      <w:r>
        <w:rPr>
          <w:rStyle w:val="CodeChar"/>
        </w:rPr>
        <w:t>summary/CODEX_SUMMARY_latest.txt</w:t>
      </w:r>
      <w:r>
        <w:t>.</w:t>
      </w:r>
    </w:p>
    <w:p>
      <w:pPr>
        <w:pStyle w:val="ListBullet"/>
        <w:numPr>
          <w:ilvl w:val="0"/>
          <w:numId w:val="1"/>
        </w:numPr>
        <w:widowControl/>
      </w:pPr>
      <w:r>
        <w:t xml:space="preserve">Do not commit temp, cache, log, environment, secret, runtime data, </w:t>
      </w:r>
      <w:r>
        <w:rPr>
          <w:rStyle w:val="CodeChar"/>
        </w:rPr>
        <w:t>render/data</w:t>
      </w:r>
      <w:r>
        <w:t>, or local state files.</w:t>
      </w:r>
    </w:p>
    <w:p>
      <w:pPr>
        <w:pStyle w:val="ListBullet"/>
        <w:numPr>
          <w:ilvl w:val="0"/>
          <w:numId w:val="1"/>
        </w:numPr>
        <w:widowControl/>
      </w:pPr>
      <w:r>
        <w:t xml:space="preserve">Keep cleanup conservative: only remove </w:t>
      </w:r>
      <w:r>
        <w:rPr>
          <w:rStyle w:val="CodeChar"/>
        </w:rPr>
        <w:t>.pytest_tmp*</w:t>
      </w:r>
      <w:r>
        <w:t xml:space="preserve">, </w:t>
      </w:r>
      <w:r>
        <w:rPr>
          <w:rStyle w:val="CodeChar"/>
        </w:rPr>
        <w:t>.pytest_cache</w:t>
      </w:r>
      <w:r>
        <w:t xml:space="preserve">, and </w:t>
      </w:r>
      <w:r>
        <w:rPr>
          <w:rStyle w:val="CodeChar"/>
        </w:rPr>
        <w:t>__pycache__</w:t>
      </w:r>
      <w:r>
        <w:t xml:space="preserve"> folders after verifying paths stay inside the repo.</w:t>
      </w:r>
    </w:p>
    <w:sectPr>
      <w:headerReference w:type="default" r:id="rId4"/>
      <w:footerReference w:type="default" r:id="rId5"/>
      <w:pgSz w:w="12240" w:h="15840"/>
      <w:pgMar w:top="1440" w:right="1440" w:bottom="1440" w:left="1440" w:header="709" w:footer="709" w:gutter="0"/>
      <w:cols w:space="720"/>
      <w:docGrid w:linePitch="360"/>
    </w:sectPr>
  </w:body>
</w:document>
</file>

<file path=word/footer1.xml><?xml version="1.0" encoding="utf-8"?>
<w:ftr xmlns:w="http://schemas.openxmlformats.org/wordprocessingml/2006/main">
  <w:p>
    <w:pPr>
      <w:pStyle w:val="Footer"/>
      <w:jc w:val="right"/>
    </w:pPr>
    <w:r>
      <w:t>Page </w:t>
    </w:r>
    <w:fldSimple w:instr=" PAGE ">
      <w:r>
        <w:t>1</w:t>
      </w:r>
    </w:fldSimple>
  </w:p>
</w:ftr>
</file>

<file path=word/header1.xml><?xml version="1.0" encoding="utf-8"?>
<w:hdr xmlns:w="http://schemas.openxmlformats.org/wordprocessingml/2006/main">
  <w:p>
    <w:pPr>
      <w:pStyle w:val="Header"/>
      <w:tabs>
        <w:tab w:val="right" w:pos="9360"/>
      </w:tabs>
    </w:pPr>
    <w:r>
      <w:rPr>
        <w:b/>
      </w:rPr>
      <w:t>CHATGPT-ONLY REFERENCE</w:t>
    </w:r>
    <w:r>
      <w:tab/>
    </w:r>
    <w:r>
      <w:t>CODEX BRIEFS</w:t>
    </w:r>
  </w:p>
</w:hdr>
</file>

<file path=word/numbering.xml><?xml version="1.0" encoding="utf-8"?>
<w:numbering xmlns:w="http://schemas.openxmlformats.org/wordprocessingml/2006/main">
  <w:abstractNum w:abstractNumId="1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Calibri" w:hAnsi="Calibri"/>
        <w:sz w:val="22"/>
      </w:rPr>
    </w:lvl>
  </w:abstractNum>
  <w:abstractNum w:abstractNumId="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updateFields w:val="true"/>
  <w:defaultTabStop w:val="720"/>
  <w:characterSpacingControl w:val="doNotCompress"/>
  <w:compat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/>
        <w:sz w:val="22"/>
        <w:szCs w:val="22"/>
        <w:color w:val="222222"/>
        <w:lang w:val="en-AU"/>
      </w:rPr>
    </w:rPrDefault>
    <w:pPrDefault>
      <w:pPr>
        <w:spacing w:after="120" w:line="300" w:lineRule="auto"/>
        <w:jc w:val="left"/>
      </w:pPr>
    </w:pPrDefault>
  </w:docDefaults>
  <w:style w:type="paragraph" w:default="1" w:styleId="Normal">
    <w:name w:val="Normal"/>
    <w:qFormat/>
    <w:pPr>
      <w:spacing w:before="0" w:after="120" w:line="300" w:lineRule="auto"/>
      <w:jc w:val="left"/>
    </w:pPr>
    <w:rPr>
      <w:rFonts w:ascii="Calibri" w:hAnsi="Calibri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160" w:line="300" w:lineRule="auto"/>
      <w:keepNext/>
    </w:pPr>
    <w:rPr>
      <w:rFonts w:ascii="Calibri Light" w:hAnsi="Calibri Light"/>
      <w:b/>
      <w:color w:val="1F4D78"/>
      <w:sz w:val="48"/>
      <w:szCs w:val="48"/>
    </w:rPr>
  </w:style>
  <w:style w:type="paragraph" w:styleId="Heading1">
    <w:name w:val="heading 1"/>
    <w:basedOn w:val="Normal"/>
    <w:next w:val="Normal"/>
    <w:qFormat/>
    <w:pPr>
      <w:spacing w:before="360" w:after="200"/>
      <w:keepNext/>
      <w:outlineLvl w:val="0"/>
    </w:pPr>
    <w:rPr>
      <w:rFonts w:ascii="Calibri" w:hAnsi="Calibri"/>
      <w:b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80" w:after="140"/>
      <w:keepNext/>
      <w:outlineLvl w:val="1"/>
    </w:pPr>
    <w:rPr>
      <w:rFonts w:ascii="Calibri" w:hAnsi="Calibri"/>
      <w:b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100"/>
      <w:keepNext/>
      <w:outlineLvl w:val="2"/>
    </w:pPr>
    <w:rPr>
      <w:rFonts w:ascii="Calibri" w:hAnsi="Calibri"/>
      <w:b/>
      <w:color w:val="1F4D78"/>
      <w:sz w:val="24"/>
      <w:szCs w:val="24"/>
    </w:rPr>
  </w:style>
  <w:style w:type="paragraph" w:styleId="ListBullet">
    <w:name w:val="List Bullet"/>
    <w:basedOn w:val="Normal"/>
    <w:qFormat/>
    <w:pPr>
      <w:spacing w:after="60" w:line="276" w:lineRule="auto"/>
    </w:pPr>
  </w:style>
  <w:style w:type="paragraph" w:styleId="ListNumber">
    <w:name w:val="List Number"/>
    <w:basedOn w:val="Normal"/>
    <w:qFormat/>
    <w:pPr>
      <w:spacing w:after="80" w:line="300" w:lineRule="auto"/>
    </w:pPr>
  </w:style>
  <w:style w:type="paragraph" w:styleId="CodeBlock">
    <w:name w:val="Code Block"/>
    <w:basedOn w:val="Normal"/>
    <w:pPr>
      <w:spacing w:before="0" w:after="0" w:line="240" w:lineRule="auto"/>
      <w:ind w:left="216" w:right="216"/>
      <w:shd w:val="clear" w:color="auto" w:fill="F2F4F7"/>
    </w:pPr>
    <w:rPr>
      <w:rFonts w:ascii="Consolas" w:hAnsi="Consolas"/>
      <w:sz w:val="18"/>
      <w:szCs w:val="18"/>
      <w:color w:val="1F2937"/>
    </w:rPr>
  </w:style>
  <w:style w:type="character" w:styleId="CodeChar">
    <w:name w:val="Code Char"/>
    <w:rPr>
      <w:rFonts w:ascii="Consolas" w:hAnsi="Consolas"/>
      <w:sz w:val="19"/>
      <w:szCs w:val="19"/>
      <w:color w:val="1F2937"/>
    </w:rPr>
  </w:style>
  <w:style w:type="paragraph" w:styleId="Header">
    <w:name w:val="header"/>
    <w:basedOn w:val="Normal"/>
    <w:pPr>
      <w:spacing w:before="0" w:after="0" w:line="220" w:lineRule="auto"/>
    </w:pPr>
    <w:rPr>
      <w:rFonts w:ascii="Calibri" w:hAnsi="Calibri"/>
      <w:sz w:val="17"/>
      <w:szCs w:val="17"/>
      <w:color w:val="6B7280"/>
    </w:rPr>
  </w:style>
  <w:style w:type="paragraph" w:styleId="Footer">
    <w:name w:val="footer"/>
    <w:basedOn w:val="Normal"/>
    <w:pPr>
      <w:spacing w:before="0" w:after="0" w:line="220" w:lineRule="auto"/>
    </w:pPr>
    <w:rPr>
      <w:rFonts w:ascii="Calibri" w:hAnsi="Calibri"/>
      <w:sz w:val="17"/>
      <w:szCs w:val="17"/>
      <w:color w:val="6B728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header" Target="header1.xml"/><Relationship Id="rId5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AppVersion>16.0000</AppVersion>
  <Company>OpenAI</Company>
  <DocSecurity>0</DocSecurity>
  <ScaleCrop>false</ScaleCrop>
  <LinksUpToDate>false</LinksUpToDate>
  <SharedDoc>false</SharedDoc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ChatGPT-only Codex brief instructions</dc:title>
  <dc:subject>Standing repository instructions for preparing Codex briefs</dc:subject>
  <dc:creator>OpenAI Codex</dc:creator>
  <cp:lastModifiedBy>OpenAI Codex</cp:lastModifiedBy>
  <dcterms:created xsi:type="dcterms:W3CDTF">2026-08-10T00:00:00Z</dcterms:created>
  <dcterms:modified xsi:type="dcterms:W3CDTF">2026-08-10T00:00:00Z</dcterms:modified>
</cp:coreProperties>
</file>