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7589F" w14:textId="4718FC8E" w:rsidR="00365535" w:rsidRDefault="00000000">
      <w:pPr>
        <w:pStyle w:val="1"/>
        <w:spacing w:before="0" w:line="275" w:lineRule="auto"/>
        <w:rPr>
          <w:rFonts w:ascii="Google Sans" w:eastAsia="Google Sans" w:hAnsi="Google Sans" w:cs="Google Sans"/>
        </w:rPr>
      </w:pPr>
      <w:r>
        <w:rPr>
          <w:rFonts w:ascii="Google Sans" w:eastAsia="Google Sans" w:hAnsi="Google Sans" w:cs="Google Sans"/>
        </w:rPr>
        <w:t>Corporate Compliance and Contract Management Policy (V1.0)</w:t>
      </w:r>
    </w:p>
    <w:p w14:paraId="085FC84C"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Scope:</w:t>
      </w:r>
      <w:r>
        <w:rPr>
          <w:rFonts w:ascii="Google Sans" w:eastAsia="Google Sans" w:hAnsi="Google Sans" w:cs="Google Sans"/>
        </w:rPr>
        <w:t xml:space="preserve"> All Internal Employees and Authorized Contractors</w:t>
      </w:r>
    </w:p>
    <w:p w14:paraId="5D93BABD"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Effective Date:</w:t>
      </w:r>
      <w:r>
        <w:rPr>
          <w:rFonts w:ascii="Google Sans" w:eastAsia="Google Sans" w:hAnsi="Google Sans" w:cs="Google Sans"/>
        </w:rPr>
        <w:t xml:space="preserve"> April 1, 2026</w:t>
      </w:r>
    </w:p>
    <w:p w14:paraId="076FC82B"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Issuing Department:</w:t>
      </w:r>
      <w:r>
        <w:rPr>
          <w:rFonts w:ascii="Google Sans" w:eastAsia="Google Sans" w:hAnsi="Google Sans" w:cs="Google Sans"/>
        </w:rPr>
        <w:t xml:space="preserve"> Legal and Compliance Office</w:t>
      </w:r>
    </w:p>
    <w:p w14:paraId="665ED57D" w14:textId="77777777" w:rsidR="00365535" w:rsidRDefault="00000000">
      <w:pPr>
        <w:pStyle w:val="2"/>
        <w:spacing w:before="0" w:line="275" w:lineRule="auto"/>
        <w:rPr>
          <w:rFonts w:ascii="Google Sans" w:eastAsia="Google Sans" w:hAnsi="Google Sans" w:cs="Google Sans"/>
        </w:rPr>
      </w:pPr>
      <w:r>
        <w:rPr>
          <w:rFonts w:ascii="Google Sans" w:eastAsia="Google Sans" w:hAnsi="Google Sans" w:cs="Google Sans"/>
        </w:rPr>
        <w:t>1. General Compliance Requirements</w:t>
      </w:r>
    </w:p>
    <w:p w14:paraId="5F30FB45"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The Company operates in a highly regulated environment. All personnel must strictly adhere to statutory requirements and internal compliance protocols to mitigate legal risks.</w:t>
      </w:r>
    </w:p>
    <w:p w14:paraId="75245E41" w14:textId="77777777" w:rsidR="0036553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Anti-Bribery and Corruption (ABC):</w:t>
      </w:r>
      <w:r>
        <w:rPr>
          <w:rFonts w:ascii="Google Sans" w:eastAsia="Google Sans" w:hAnsi="Google Sans" w:cs="Google Sans"/>
        </w:rPr>
        <w:t xml:space="preserve"> The Company enforces a zero-tolerance policy towards bribery, extortion, and unauthorized kickbacks. Employees must not offer, promise, give, or accept any improper financial or other advantages.</w:t>
      </w:r>
    </w:p>
    <w:p w14:paraId="0F40DBCD" w14:textId="77777777" w:rsidR="0036553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Data Privacy and Protection:</w:t>
      </w:r>
      <w:r>
        <w:rPr>
          <w:rFonts w:ascii="Google Sans" w:eastAsia="Google Sans" w:hAnsi="Google Sans" w:cs="Google Sans"/>
        </w:rPr>
        <w:t xml:space="preserve"> In accordance with global data protection regulations (e.g., GDPR, PDPA), all employees handling Personally Identifiable Information (PII) must ensure data is encrypted in transit and at rest. Unauthorized transmission of PII to third parties constitutes a severe breach of compliance.</w:t>
      </w:r>
    </w:p>
    <w:p w14:paraId="463D086F" w14:textId="77777777" w:rsidR="0036553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Conflict of Interest:</w:t>
      </w:r>
      <w:r>
        <w:rPr>
          <w:rFonts w:ascii="Google Sans" w:eastAsia="Google Sans" w:hAnsi="Google Sans" w:cs="Google Sans"/>
        </w:rPr>
        <w:t xml:space="preserve"> Employees must formally disclose any potential or actual conflicts of interest to the Legal Department via the internal compliance portal within 48 hours of discovery.</w:t>
      </w:r>
    </w:p>
    <w:p w14:paraId="2E7976AC" w14:textId="77777777" w:rsidR="00365535" w:rsidRDefault="00000000">
      <w:pPr>
        <w:pStyle w:val="2"/>
        <w:spacing w:before="0" w:line="275" w:lineRule="auto"/>
        <w:rPr>
          <w:rFonts w:ascii="Google Sans" w:eastAsia="Google Sans" w:hAnsi="Google Sans" w:cs="Google Sans"/>
        </w:rPr>
      </w:pPr>
      <w:r>
        <w:rPr>
          <w:rFonts w:ascii="Google Sans" w:eastAsia="Google Sans" w:hAnsi="Google Sans" w:cs="Google Sans"/>
        </w:rPr>
        <w:t>2. Contract Review and Approval Matrix</w:t>
      </w:r>
    </w:p>
    <w:p w14:paraId="04CA70FD"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To standardize vendor engagements and partnership agreements, all binding contracts must undergo legal review based on the following threshold and categorization matrix:</w:t>
      </w:r>
    </w:p>
    <w:p w14:paraId="655D5ED8" w14:textId="77777777" w:rsidR="00365535" w:rsidRDefault="00000000">
      <w:pPr>
        <w:pStyle w:val="3"/>
        <w:spacing w:before="0" w:line="275" w:lineRule="auto"/>
        <w:rPr>
          <w:rFonts w:ascii="Google Sans" w:eastAsia="Google Sans" w:hAnsi="Google Sans" w:cs="Google Sans"/>
        </w:rPr>
      </w:pPr>
      <w:r>
        <w:rPr>
          <w:rFonts w:ascii="Google Sans" w:eastAsia="Google Sans" w:hAnsi="Google Sans" w:cs="Google Sans"/>
        </w:rPr>
        <w:t>2.1 Contract Authorization SLA</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365535" w14:paraId="5AEE32DB"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A0C6281" w14:textId="77777777" w:rsidR="00365535"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Contract Type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82BC721" w14:textId="77777777" w:rsidR="00365535"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Value Threshold (USD)</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28315C8" w14:textId="77777777" w:rsidR="00365535"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Required Approval Level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9E75680" w14:textId="77777777" w:rsidR="00365535"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SLA (Turnaround Time)</w:t>
            </w:r>
          </w:p>
        </w:tc>
      </w:tr>
      <w:tr w:rsidR="00365535" w14:paraId="54276DC3"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F21EAE6" w14:textId="77777777" w:rsidR="00365535"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Non-Disclosure Agreement (NDA)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33D769C"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Any Value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77FC1EA7"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Automated Legal Desk (Standard Template)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E30E0A9"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1 Business Day</w:t>
            </w:r>
          </w:p>
        </w:tc>
      </w:tr>
      <w:tr w:rsidR="00365535" w14:paraId="44B400D9"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7AABECA" w14:textId="77777777" w:rsidR="00365535"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Vendor / Supplier Agreement</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C6602E8"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&lt; $50,000</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08A489D"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Paralegal / Junior Legal Counsel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41069B4"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3 Business Days</w:t>
            </w:r>
          </w:p>
        </w:tc>
      </w:tr>
      <w:tr w:rsidR="00365535" w14:paraId="5B4E25DD"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891523C" w14:textId="77777777" w:rsidR="00365535"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Vendor / Supplier Agreement</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0A0C93A1"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w:t>
            </w:r>
            <w:proofErr w:type="spellStart"/>
            <w:r>
              <w:rPr>
                <w:rFonts w:ascii="Google Sans" w:eastAsia="Google Sans" w:hAnsi="Google Sans" w:cs="Google Sans"/>
              </w:rPr>
              <w:t>ge</w:t>
            </w:r>
            <w:proofErr w:type="spellEnd"/>
            <w:r>
              <w:rPr>
                <w:rFonts w:ascii="Google Sans" w:eastAsia="Google Sans" w:hAnsi="Google Sans" w:cs="Google Sans"/>
              </w:rPr>
              <w:t>$ $50,000</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F883413"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Senior Legal Counsel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742734D"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5 Business Days</w:t>
            </w:r>
          </w:p>
        </w:tc>
      </w:tr>
      <w:tr w:rsidR="00365535" w14:paraId="0B2D17BF"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600F87C5" w14:textId="77777777" w:rsidR="00365535"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Master Service Agreement (MSA)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4ED86D67"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Any Value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FE9E447"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General Counsel (GC)</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2AE76C29"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7 - 10 Business Days</w:t>
            </w:r>
          </w:p>
        </w:tc>
      </w:tr>
      <w:tr w:rsidR="00365535" w14:paraId="029957BF"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BF4AC5D" w14:textId="77777777" w:rsidR="00365535"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 xml:space="preserve">Software License </w:t>
            </w:r>
            <w:r>
              <w:rPr>
                <w:rFonts w:ascii="Google Sans" w:eastAsia="Google Sans" w:hAnsi="Google Sans" w:cs="Google Sans"/>
                <w:b/>
                <w:bCs/>
              </w:rPr>
              <w:lastRenderedPageBreak/>
              <w:t>Agreement</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54854B8B"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lastRenderedPageBreak/>
              <w:t>&gt; $10,000</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18AFF295"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Senior Counsel + IT </w:t>
            </w:r>
            <w:r>
              <w:rPr>
                <w:rFonts w:ascii="Google Sans" w:eastAsia="Google Sans" w:hAnsi="Google Sans" w:cs="Google Sans"/>
              </w:rPr>
              <w:lastRenderedPageBreak/>
              <w:t>Procurement</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14:paraId="30FA04DD"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lastRenderedPageBreak/>
              <w:t>5 Business Days</w:t>
            </w:r>
          </w:p>
        </w:tc>
      </w:tr>
    </w:tbl>
    <w:p w14:paraId="4FC7FC79" w14:textId="77777777" w:rsidR="00365535" w:rsidRDefault="00000000">
      <w:pPr>
        <w:pBdr>
          <w:top w:val="nil"/>
          <w:left w:val="nil"/>
          <w:bottom w:val="nil"/>
          <w:right w:val="nil"/>
          <w:between w:val="nil"/>
        </w:pBdr>
        <w:spacing w:before="480" w:line="275" w:lineRule="auto"/>
        <w:rPr>
          <w:rFonts w:ascii="Google Sans" w:eastAsia="Google Sans" w:hAnsi="Google Sans" w:cs="Google Sans"/>
          <w:i/>
          <w:iCs/>
        </w:rPr>
      </w:pPr>
      <w:r>
        <w:rPr>
          <w:rFonts w:ascii="Google Sans" w:eastAsia="Google Sans" w:hAnsi="Google Sans" w:cs="Google Sans"/>
          <w:i/>
          <w:iCs/>
        </w:rPr>
        <w:t>Note: Use of non-standard contract templates drafted by third parties automatically adds 2 business days to the stated SLA for deeper risk assessment.</w:t>
      </w:r>
    </w:p>
    <w:p w14:paraId="462D8FBE" w14:textId="77777777" w:rsidR="00365535" w:rsidRDefault="00000000">
      <w:pPr>
        <w:pStyle w:val="2"/>
        <w:spacing w:before="0" w:line="275" w:lineRule="auto"/>
        <w:rPr>
          <w:rFonts w:ascii="Google Sans" w:eastAsia="Google Sans" w:hAnsi="Google Sans" w:cs="Google Sans"/>
        </w:rPr>
      </w:pPr>
      <w:r>
        <w:rPr>
          <w:rFonts w:ascii="Google Sans" w:eastAsia="Google Sans" w:hAnsi="Google Sans" w:cs="Google Sans"/>
        </w:rPr>
        <w:t>3. Standard Legal Terms and Definitions</w:t>
      </w:r>
    </w:p>
    <w:p w14:paraId="5CF03813"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All contracts executed on behalf of the Company must, at a minimum, address the following standard legal clauses:</w:t>
      </w:r>
    </w:p>
    <w:p w14:paraId="06A418C2" w14:textId="77777777" w:rsidR="0036553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Indemnification:</w:t>
      </w:r>
      <w:r>
        <w:rPr>
          <w:rFonts w:ascii="Google Sans" w:eastAsia="Google Sans" w:hAnsi="Google Sans" w:cs="Google Sans"/>
        </w:rPr>
        <w:t xml:space="preserve"> The obligation of one party to compensate the other for certain harms or losses arising out of the contract. The Company generally seeks broad indemnification from vendors for intellectual property infringement.</w:t>
      </w:r>
    </w:p>
    <w:p w14:paraId="60567482" w14:textId="77777777" w:rsidR="0036553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Force Majeure:</w:t>
      </w:r>
      <w:r>
        <w:rPr>
          <w:rFonts w:ascii="Google Sans" w:eastAsia="Google Sans" w:hAnsi="Google Sans" w:cs="Google Sans"/>
        </w:rPr>
        <w:t xml:space="preserve"> An unforeseeable and unavoidable event (e.g., natural disasters, acts of war) that prevents a party from fulfilling its contractual obligations. Financial hardship does not qualify as a Force Majeure event.</w:t>
      </w:r>
    </w:p>
    <w:p w14:paraId="6FC09B9B" w14:textId="77777777" w:rsidR="0036553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Severability:</w:t>
      </w:r>
      <w:r>
        <w:rPr>
          <w:rFonts w:ascii="Google Sans" w:eastAsia="Google Sans" w:hAnsi="Google Sans" w:cs="Google Sans"/>
        </w:rPr>
        <w:t xml:space="preserve"> A provision ensuring that if any single clause within a contract is deemed legally invalid or unenforceable, the remainder of the contract remains in full effect.</w:t>
      </w:r>
    </w:p>
    <w:p w14:paraId="4B1E773A" w14:textId="77777777" w:rsidR="0036553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Governing Law and Jurisdiction:</w:t>
      </w:r>
      <w:r>
        <w:rPr>
          <w:rFonts w:ascii="Google Sans" w:eastAsia="Google Sans" w:hAnsi="Google Sans" w:cs="Google Sans"/>
        </w:rPr>
        <w:t xml:space="preserve"> All domestic contracts must stipulate that they are governed by local law, with disputes subject to the exclusive jurisdiction of the local courts where the Company's headquarters are located.</w:t>
      </w:r>
    </w:p>
    <w:p w14:paraId="6AD0D7E4" w14:textId="77777777" w:rsidR="00365535" w:rsidRDefault="00000000">
      <w:pPr>
        <w:pStyle w:val="2"/>
        <w:spacing w:before="0" w:line="275" w:lineRule="auto"/>
        <w:rPr>
          <w:rFonts w:ascii="Google Sans" w:eastAsia="Google Sans" w:hAnsi="Google Sans" w:cs="Google Sans"/>
        </w:rPr>
      </w:pPr>
      <w:r>
        <w:rPr>
          <w:rFonts w:ascii="Google Sans" w:eastAsia="Google Sans" w:hAnsi="Google Sans" w:cs="Google Sans"/>
        </w:rPr>
        <w:t>4. Protocol for Breach of Contract and Legal Disputes</w:t>
      </w:r>
    </w:p>
    <w:p w14:paraId="68F72E47" w14:textId="77777777" w:rsidR="00365535"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If an employee suspects a third party is in breach of contract, or if the Company receives a legal summons or cease-and-desist letter:</w:t>
      </w:r>
    </w:p>
    <w:p w14:paraId="6DB73B92" w14:textId="77777777" w:rsidR="00365535"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rPr>
        <w:t>Immediate Escalation:</w:t>
      </w:r>
      <w:r>
        <w:rPr>
          <w:rFonts w:ascii="Google Sans" w:eastAsia="Google Sans" w:hAnsi="Google Sans" w:cs="Google Sans"/>
        </w:rPr>
        <w:t xml:space="preserve"> Immediately notify the General Counsel via the high-priority legal alias.</w:t>
      </w:r>
    </w:p>
    <w:p w14:paraId="297551D1" w14:textId="77777777" w:rsidR="00365535"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rPr>
        <w:t>Preservation of Evidence (Legal Hold):</w:t>
      </w:r>
      <w:r>
        <w:rPr>
          <w:rFonts w:ascii="Google Sans" w:eastAsia="Google Sans" w:hAnsi="Google Sans" w:cs="Google Sans"/>
        </w:rPr>
        <w:t xml:space="preserve"> Under no circumstances should any associated communications, emails, documents, or data logs be deleted or modified. A formal "Legal Hold" will be issued by the Legal Department.</w:t>
      </w:r>
    </w:p>
    <w:p w14:paraId="14D0897B" w14:textId="77777777" w:rsidR="00365535"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rPr>
        <w:t>No External Communication:</w:t>
      </w:r>
      <w:r>
        <w:rPr>
          <w:rFonts w:ascii="Google Sans" w:eastAsia="Google Sans" w:hAnsi="Google Sans" w:cs="Google Sans"/>
        </w:rPr>
        <w:t xml:space="preserve"> Do not admit liability, offer settlements, or communicate with the opposing party's legal representatives without explicit written authorization from the Legal Department.</w:t>
      </w:r>
    </w:p>
    <w:p w14:paraId="1F370343" w14:textId="0C30D88E" w:rsidR="00365535" w:rsidRDefault="00365535">
      <w:pPr>
        <w:pBdr>
          <w:top w:val="nil"/>
          <w:left w:val="nil"/>
          <w:bottom w:val="nil"/>
          <w:right w:val="nil"/>
          <w:between w:val="nil"/>
        </w:pBdr>
        <w:spacing w:line="275" w:lineRule="auto"/>
        <w:rPr>
          <w:rFonts w:ascii="Google Sans" w:eastAsia="Google Sans" w:hAnsi="Google Sans" w:cs="Google Sans"/>
        </w:rPr>
      </w:pPr>
    </w:p>
    <w:sectPr w:rsidR="0036553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9A4D3EC-A589-5D4C-994C-2840A9DD8051}"/>
    <w:embedBold r:id="rId2" w:fontKey="{E332DE30-F24C-724D-B8BF-33CFF5783BD3}"/>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3" w:fontKey="{774A3C83-178A-CA47-86CD-66221EE65734}"/>
  </w:font>
  <w:font w:name="Georgia">
    <w:panose1 w:val="02040502050405020303"/>
    <w:charset w:val="00"/>
    <w:family w:val="roman"/>
    <w:pitch w:val="variable"/>
    <w:sig w:usb0="00000287" w:usb1="00000000" w:usb2="00000000" w:usb3="00000000" w:csb0="0000009F" w:csb1="00000000"/>
    <w:embedItalic r:id="rId4" w:fontKey="{0AA95C4C-35DC-D845-B583-434E8FD506E7}"/>
  </w:font>
  <w:font w:name="Google Sans">
    <w:charset w:val="00"/>
    <w:family w:val="auto"/>
    <w:pitch w:val="default"/>
    <w:embedRegular r:id="rId5" w:fontKey="{3B2DA261-4116-9247-82A9-345FE59AD62A}"/>
    <w:embedBold r:id="rId6" w:fontKey="{C6D87FDB-E52F-4E42-9313-B97E894ACC4A}"/>
    <w:embedItalic r:id="rId7" w:fontKey="{F7F5F163-A559-AE45-A4DB-CCCE99CC5774}"/>
  </w:font>
  <w:font w:name="Calibri">
    <w:panose1 w:val="020F0502020204030204"/>
    <w:charset w:val="00"/>
    <w:family w:val="swiss"/>
    <w:pitch w:val="variable"/>
    <w:sig w:usb0="E0002AFF" w:usb1="C000247B" w:usb2="00000009" w:usb3="00000000" w:csb0="000001FF" w:csb1="00000000"/>
    <w:embedRegular r:id="rId8" w:fontKey="{42588FA0-04E3-E04F-8B74-565835CF9252}"/>
  </w:font>
  <w:font w:name="Cambria">
    <w:panose1 w:val="02040503050406030204"/>
    <w:charset w:val="00"/>
    <w:family w:val="roman"/>
    <w:pitch w:val="variable"/>
    <w:sig w:usb0="E00002FF" w:usb1="400004FF" w:usb2="00000000" w:usb3="00000000" w:csb0="0000019F" w:csb1="00000000"/>
    <w:embedRegular r:id="rId9" w:fontKey="{4B444ED9-36B3-DD4E-BEA0-6B1849D7F1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53126"/>
    <w:multiLevelType w:val="multilevel"/>
    <w:tmpl w:val="94BC60E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E106536"/>
    <w:multiLevelType w:val="multilevel"/>
    <w:tmpl w:val="14987B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9DF6D04"/>
    <w:multiLevelType w:val="multilevel"/>
    <w:tmpl w:val="03D8C2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75866615">
    <w:abstractNumId w:val="1"/>
  </w:num>
  <w:num w:numId="2" w16cid:durableId="296646981">
    <w:abstractNumId w:val="2"/>
  </w:num>
  <w:num w:numId="3" w16cid:durableId="2141611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535"/>
    <w:rsid w:val="00035CA4"/>
    <w:rsid w:val="00365535"/>
    <w:rsid w:val="00844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18EE"/>
  <w15:docId w15:val="{10FF7DFA-0D9B-774A-B41B-7E79486CC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561</Words>
  <Characters>3200</Characters>
  <Application>Microsoft Office Word</Application>
  <DocSecurity>0</DocSecurity>
  <Lines>26</Lines>
  <Paragraphs>7</Paragraphs>
  <ScaleCrop>false</ScaleCrop>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Qiao</cp:lastModifiedBy>
  <cp:revision>2</cp:revision>
  <dcterms:created xsi:type="dcterms:W3CDTF">2026-03-06T16:03:00Z</dcterms:created>
  <dcterms:modified xsi:type="dcterms:W3CDTF">2026-03-06T16:04:00Z</dcterms:modified>
</cp:coreProperties>
</file>