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2766" w:rsidRPr="00172766" w:rsidRDefault="00172766" w:rsidP="00172766">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172766">
        <w:rPr>
          <w:rFonts w:ascii="Times New Roman" w:eastAsia="Times New Roman" w:hAnsi="Times New Roman" w:cs="Times New Roman"/>
          <w:b/>
          <w:bCs/>
          <w:color w:val="000000"/>
          <w:kern w:val="36"/>
          <w:sz w:val="48"/>
          <w:szCs w:val="48"/>
          <w:lang w:eastAsia="en-GB"/>
          <w14:ligatures w14:val="none"/>
        </w:rPr>
        <w:t>Architecture Decision Records — Sport Data Solution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ADRs document every significant technical decision made during this project. Format: context → decision → consequences. Never delete an ADR — superseded decisions stay for historical context.</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6"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ADR-001 — PostgreSQL as primary database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 xml:space="preserve">We need a relational database to store HR data, sport activities, business rules, and computed benefits. Data has clear relationships (employee </w:t>
      </w:r>
      <w:r w:rsidR="00762898">
        <w:rPr>
          <w:rFonts w:ascii="Times New Roman" w:eastAsia="Times New Roman" w:hAnsi="Times New Roman" w:cs="Times New Roman"/>
          <w:color w:val="000000"/>
          <w:kern w:val="0"/>
          <w:lang w:eastAsia="en-GB"/>
          <w14:ligatures w14:val="none"/>
        </w:rPr>
        <w:t>&gt;</w:t>
      </w:r>
      <w:r w:rsidRPr="00172766">
        <w:rPr>
          <w:rFonts w:ascii="Times New Roman" w:eastAsia="Times New Roman" w:hAnsi="Times New Roman" w:cs="Times New Roman"/>
          <w:color w:val="000000"/>
          <w:kern w:val="0"/>
          <w:lang w:eastAsia="en-GB"/>
          <w14:ligatures w14:val="none"/>
        </w:rPr>
        <w:t xml:space="preserve"> activities </w:t>
      </w:r>
      <w:r w:rsidR="00762898">
        <w:rPr>
          <w:rFonts w:ascii="Times New Roman" w:eastAsia="Times New Roman" w:hAnsi="Times New Roman" w:cs="Times New Roman"/>
          <w:color w:val="000000"/>
          <w:kern w:val="0"/>
          <w:lang w:eastAsia="en-GB"/>
          <w14:ligatures w14:val="none"/>
        </w:rPr>
        <w:t>&gt;</w:t>
      </w:r>
      <w:r w:rsidRPr="00172766">
        <w:rPr>
          <w:rFonts w:ascii="Times New Roman" w:eastAsia="Times New Roman" w:hAnsi="Times New Roman" w:cs="Times New Roman"/>
          <w:color w:val="000000"/>
          <w:kern w:val="0"/>
          <w:lang w:eastAsia="en-GB"/>
          <w14:ligatures w14:val="none"/>
        </w:rPr>
        <w:t xml:space="preserve"> benefits) and requires ACID compliance for financial calculations.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PostgreSQL 15.7 pinned version.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Full ACID compliance for financial data </w:t>
      </w:r>
    </w:p>
    <w:p w:rsidR="00172766" w:rsidRPr="00172766" w:rsidRDefault="00172766" w:rsidP="00172766">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pgcrypto extension for PII column encryption </w:t>
      </w:r>
    </w:p>
    <w:p w:rsidR="00172766" w:rsidRPr="00172766" w:rsidRDefault="00172766" w:rsidP="00172766">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Native ENUM types for transport_mode, activity_type </w:t>
      </w:r>
    </w:p>
    <w:p w:rsidR="00172766" w:rsidRPr="00172766" w:rsidRDefault="00172766" w:rsidP="00172766">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Requires dedicated databases per application (see ADR-007)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5"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ADR-002 — Redpanda as message broker</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We need a message broker to publish sport activity events and trigger Slack notifications. Kafka is the industry standard but has significant operational overhead for a POC.</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 xml:space="preserve">Redpanda v24.2.7 </w:t>
      </w:r>
      <w:r w:rsidR="00762898">
        <w:rPr>
          <w:rFonts w:ascii="Times New Roman" w:eastAsia="Times New Roman" w:hAnsi="Times New Roman" w:cs="Times New Roman"/>
          <w:color w:val="000000"/>
          <w:kern w:val="0"/>
          <w:lang w:eastAsia="en-GB"/>
          <w14:ligatures w14:val="none"/>
        </w:rPr>
        <w:t>-</w:t>
      </w:r>
      <w:r w:rsidRPr="00172766">
        <w:rPr>
          <w:rFonts w:ascii="Times New Roman" w:eastAsia="Times New Roman" w:hAnsi="Times New Roman" w:cs="Times New Roman"/>
          <w:color w:val="000000"/>
          <w:kern w:val="0"/>
          <w:lang w:eastAsia="en-GB"/>
          <w14:ligatures w14:val="none"/>
        </w:rPr>
        <w:t xml:space="preserve"> Kafka-compatible API, no ZooKeeper dependency, single binary.</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Kafka-compatible: future migration to Kafka requires no code changes </w:t>
      </w:r>
    </w:p>
    <w:p w:rsidR="00172766" w:rsidRPr="00172766" w:rsidRDefault="00172766" w:rsidP="00172766">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Zero ZooKeeper: simpler Docker setup </w:t>
      </w:r>
    </w:p>
    <w:p w:rsidR="00172766" w:rsidRPr="00172766" w:rsidRDefault="00172766" w:rsidP="00172766">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Smaller community than Kafka </w:t>
      </w:r>
    </w:p>
    <w:p w:rsidR="00172766" w:rsidRPr="00172766" w:rsidRDefault="00172766" w:rsidP="00172766">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Not suited for very high throughput production workloads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4" alt="" style="width:451.3pt;height:.05pt;mso-width-percent:0;mso-height-percent:0;mso-width-percent:0;mso-height-percent:0" o:hralign="center" o:hrstd="t" o:hr="t" fillcolor="#a0a0a0" stroked="f"/>
        </w:pict>
      </w:r>
    </w:p>
    <w:p w:rsidR="00172766" w:rsidRPr="00172766" w:rsidRDefault="00172766" w:rsidP="0076289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lastRenderedPageBreak/>
        <w:t>ADR-003 — Kestra as pipeline orchestration tool</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We need an orchestration tool to schedule and execute ETL pipelines, manage dependencies between tasks, and provide monitoring of pipeline runs.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 xml:space="preserve">Kestra v0.18.0 </w:t>
      </w:r>
      <w:r w:rsidR="00762898">
        <w:rPr>
          <w:rFonts w:ascii="Times New Roman" w:eastAsia="Times New Roman" w:hAnsi="Times New Roman" w:cs="Times New Roman"/>
          <w:color w:val="000000"/>
          <w:kern w:val="0"/>
          <w:lang w:eastAsia="en-GB"/>
          <w14:ligatures w14:val="none"/>
        </w:rPr>
        <w:t>-</w:t>
      </w:r>
      <w:r w:rsidRPr="00172766">
        <w:rPr>
          <w:rFonts w:ascii="Times New Roman" w:eastAsia="Times New Roman" w:hAnsi="Times New Roman" w:cs="Times New Roman"/>
          <w:color w:val="000000"/>
          <w:kern w:val="0"/>
          <w:lang w:eastAsia="en-GB"/>
          <w14:ligatures w14:val="none"/>
        </w:rPr>
        <w:t xml:space="preserve"> YAML-based flow definitions, PostgreSQL backend, built-in UI.</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YAML flows: readable by non-developers </w:t>
      </w:r>
    </w:p>
    <w:p w:rsidR="00172766" w:rsidRPr="00172766" w:rsidRDefault="00172766" w:rsidP="00172766">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Built-in monitoring UI at port 8080 </w:t>
      </w:r>
    </w:p>
    <w:p w:rsidR="00172766" w:rsidRPr="00172766" w:rsidRDefault="00172766" w:rsidP="00172766">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466 available plugins covering HTTP, database, messaging </w:t>
      </w:r>
    </w:p>
    <w:p w:rsidR="00172766" w:rsidRPr="00172766" w:rsidRDefault="00172766" w:rsidP="00172766">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Requires dedicated PostgreSQL database (kestradb) for its internal state </w:t>
      </w:r>
    </w:p>
    <w:p w:rsidR="00172766" w:rsidRPr="00172766" w:rsidRDefault="00172766" w:rsidP="00172766">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Micronaut framework: camelCase config requires KESTRA_CONFIGURATION block (see ADR-008)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3"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ADR-004 — Metabase for data visualization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Juliette needs a dashboard to visualize KPIs: financial impact of benefits, sport activity distribution, eligible employees. Tool must be accessible to non-technical users.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Metabase v0.50.24 — no-code dashboard builder, connects directly to PostgreSQL.</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No-code: Juliette can create new dashboards without developer help </w:t>
      </w:r>
    </w:p>
    <w:p w:rsidR="00172766" w:rsidRPr="00172766" w:rsidRDefault="00172766" w:rsidP="00172766">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Direct PostgreSQL connection: no ETL layer needed for reporting </w:t>
      </w:r>
    </w:p>
    <w:p w:rsidR="00172766" w:rsidRPr="00172766" w:rsidRDefault="00172766" w:rsidP="00172766">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Requires dedicated PostgreSQL database (metabasedb) for its internal state </w:t>
      </w:r>
    </w:p>
    <w:p w:rsidR="00172766" w:rsidRPr="00172766" w:rsidRDefault="00172766" w:rsidP="00172766">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AMD64 image on ARM64 Mac: runs via Rosetta emulation, slower startup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2"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ADR-005 — pgcrypto for PII column encryption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HR data contains PII: names, birth dates, salaries, addresses. GDPR requires protection of personal data. Data must be encrypted at rest.</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pgp_sym_encrypt() / pgp_sym_decrypt() via pgcrypto PostgreSQL extension. Encrypted columns stored as BYTEA.</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lastRenderedPageBreak/>
        <w:t>Consequences:</w:t>
      </w:r>
    </w:p>
    <w:p w:rsidR="00172766" w:rsidRPr="00172766" w:rsidRDefault="00172766" w:rsidP="00172766">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Encryption at database column level: protects against direct DB access </w:t>
      </w:r>
    </w:p>
    <w:p w:rsidR="00172766" w:rsidRPr="00172766" w:rsidRDefault="00172766" w:rsidP="00172766">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Symmetric encryption: single key required for encrypt/decrypt </w:t>
      </w:r>
    </w:p>
    <w:p w:rsidR="00172766" w:rsidRPr="00172766" w:rsidRDefault="00172766" w:rsidP="00172766">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rh_employee_id left unencrypted: it is an anonymous identifier (no PII) </w:t>
      </w:r>
    </w:p>
    <w:p w:rsidR="00172766" w:rsidRPr="00172766" w:rsidRDefault="00172766" w:rsidP="00172766">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Encrypted columns cannot be used in WHERE clauses or indexes </w:t>
      </w:r>
    </w:p>
    <w:p w:rsidR="00172766" w:rsidRPr="00172766" w:rsidRDefault="00172766" w:rsidP="00172766">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Key management is responsibility of deployment environment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1"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ADR-006 — SCD2 pattern for benefit_rules table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Business rules (prime rate, distance thresholds) change over time. Juliette explicitly requested the ability to rerun historical calculations — which requires knowing what rule was active at any past date.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Slowly Changing Dimension Type 2 (SCD2): never UPDATE benefit_rules, always INSERT a new row with a new ru_effective_date.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Full audit trail of all rule changes </w:t>
      </w:r>
    </w:p>
    <w:p w:rsidR="00172766" w:rsidRPr="00172766" w:rsidRDefault="00172766" w:rsidP="00172766">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Historical recalculations always produce correct results </w:t>
      </w:r>
    </w:p>
    <w:p w:rsidR="00172766" w:rsidRPr="00172766" w:rsidRDefault="00172766" w:rsidP="00172766">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PowerBI can replay any period with correct parameters </w:t>
      </w:r>
    </w:p>
    <w:p w:rsidR="00172766" w:rsidRPr="00172766" w:rsidRDefault="00172766" w:rsidP="00172766">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Queries require ORDER BY ru_effective_date DESC LIMIT 1 to get current rule </w:t>
      </w:r>
    </w:p>
    <w:p w:rsidR="00172766" w:rsidRPr="00172766" w:rsidRDefault="00172766" w:rsidP="00172766">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UPDATE is only acceptable for data entry errors (not business changes)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30"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ADR-007 — Dedicated database per application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Kestra and Metabase both use Flyway/Liquibase to manage their internal schema. Initial setup used a shared sportdb database which caused schema conflicts and failed migrations.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Three separate databases on the same PostgreSQL instance:</w:t>
      </w:r>
    </w:p>
    <w:p w:rsidR="00172766" w:rsidRPr="00172766" w:rsidRDefault="00172766" w:rsidP="00172766">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sportdb → our ETL data (4 tables)</w:t>
      </w:r>
    </w:p>
    <w:p w:rsidR="00172766" w:rsidRPr="00172766" w:rsidRDefault="00172766" w:rsidP="00172766">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kestradb → Kestra internal state</w:t>
      </w:r>
    </w:p>
    <w:p w:rsidR="00172766" w:rsidRPr="00172766" w:rsidRDefault="00172766" w:rsidP="00172766">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metabasedb → Metabase internal state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Full isolation: one app's migration cannot affect another </w:t>
      </w:r>
    </w:p>
    <w:p w:rsidR="00172766" w:rsidRPr="00172766" w:rsidRDefault="00172766" w:rsidP="00172766">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Clear ownership: each app owns its database entirely </w:t>
      </w:r>
    </w:p>
    <w:p w:rsidR="00172766" w:rsidRPr="00172766" w:rsidRDefault="00172766" w:rsidP="00172766">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Simpler permissions: each app user owns only their database </w:t>
      </w:r>
    </w:p>
    <w:p w:rsidR="00172766" w:rsidRPr="00172766" w:rsidRDefault="00172766" w:rsidP="00172766">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lastRenderedPageBreak/>
        <w:t xml:space="preserve">One PostgreSQL instance: no additional infrastructure cost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29"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ADR-008 — KESTRA_CONFIGURATION env var for config</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Kestra uses Micronaut framework which maps environment variables to config using UPPER_SNAKE_CASE → lower.dot.case conversion. This lowercases all values, making it impossible to express camelCase config keys (e.g. basePath) via plain env vars. A mounted YAML config file approach failed because Docker does not expand ${VAR} placeholders in mounted files.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Use KESTRA_CONFIGURATION env var which accepts a raw YAML block, bypassing Micronaut's env var mapping entirely. Docker-compose expands ${VAR} in the environment: block before passing to container.</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camelCase config keys work correctly </w:t>
      </w:r>
    </w:p>
    <w:p w:rsidR="00172766" w:rsidRPr="00172766" w:rsidRDefault="00172766" w:rsidP="00172766">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No mounted config file: fewer moving parts </w:t>
      </w:r>
    </w:p>
    <w:p w:rsidR="00172766" w:rsidRPr="00172766" w:rsidRDefault="00172766" w:rsidP="00172766">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YAML block must be maintained inside docker-compose.yml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28"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ADR-009 — Google Maps API as address validator and splitter</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EDA revealed 17/161 addresses (10.6%) with anomalies: missing street numbers, missing postal codes, missing comma separators. Custom parsing logic would require handling many edge cases and would still produce inconsistent results. Google Maps API returns fully validated, normalized address components.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Send raw address string to Google Maps API. Use Google's response to:</w:t>
      </w:r>
    </w:p>
    <w:p w:rsidR="00172766" w:rsidRPr="00172766" w:rsidRDefault="00172766" w:rsidP="00172766">
      <w:pPr>
        <w:numPr>
          <w:ilvl w:val="0"/>
          <w:numId w:val="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Extract validated address components (street_number, route, postal_code, city)</w:t>
      </w:r>
    </w:p>
    <w:p w:rsidR="00172766" w:rsidRPr="00172766" w:rsidRDefault="00172766" w:rsidP="00172766">
      <w:pPr>
        <w:numPr>
          <w:ilvl w:val="0"/>
          <w:numId w:val="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Calculate distance from employee home to company (1362 Av. des Platanes, 34970 Lattes)</w:t>
      </w:r>
    </w:p>
    <w:p w:rsidR="00172766" w:rsidRPr="00172766" w:rsidRDefault="00172766" w:rsidP="00172766">
      <w:pPr>
        <w:numPr>
          <w:ilvl w:val="0"/>
          <w:numId w:val="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Flag unresolvable addresses (be_declaration_valid = FALSE)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No custom address parsing logic needed </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Google normalizes capitalization, abbreviations, missing components </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lastRenderedPageBreak/>
        <w:t xml:space="preserve">Distance calculation and address splitting in one API call </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External API dependency: pipeline fails if API is unavailable </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API cost: billed per request </w:t>
      </w:r>
    </w:p>
    <w:p w:rsidR="00172766" w:rsidRPr="00172766" w:rsidRDefault="00172766" w:rsidP="00172766">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Fallback required for unresolvable addresses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27"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ADR-010 — Poetry for Python dependency management</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Python project requires dependency management with clear separation between production and development dependencies. Reproducible builds are required for Docker containers.</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Poetry with pyproject.toml. Two groups:</w:t>
      </w:r>
    </w:p>
    <w:p w:rsidR="00172766" w:rsidRPr="00172766" w:rsidRDefault="00172766" w:rsidP="00172766">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main: pandas, openpyxl, numpy, psycopg2-binary, pydantic, python-dotenv</w:t>
      </w:r>
    </w:p>
    <w:p w:rsidR="00172766" w:rsidRPr="00172766" w:rsidRDefault="00172766" w:rsidP="00172766">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dev: jupyter, ipykernel</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pyproject.toml: single source of truth for dependencies </w:t>
      </w:r>
    </w:p>
    <w:p w:rsidR="00172766" w:rsidRPr="00172766" w:rsidRDefault="00172766" w:rsidP="00172766">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poetry.lock: reproducible installs across environments </w:t>
      </w:r>
    </w:p>
    <w:p w:rsidR="00172766" w:rsidRPr="00172766" w:rsidRDefault="00172766" w:rsidP="00172766">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Group separation: dev dependencies (jupyter) never installed in production </w:t>
      </w:r>
    </w:p>
    <w:p w:rsidR="00172766" w:rsidRPr="00172766" w:rsidRDefault="00172766" w:rsidP="00172766">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Docker containers use: poetry install --only main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pict>
          <v:rect id="_x0000_i1026"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ADR-011 — Versioned SQL migrations (Flyway naming convention)</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Database schema evolves during development. Changes must be tracked, reproducible across environments, and never destructive to existing data.</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SQL files in migrations/ folder following Flyway naming: V{n}__{description}.sql</w:t>
      </w:r>
      <w:r w:rsidRPr="00172766">
        <w:rPr>
          <w:rFonts w:ascii="Times New Roman" w:eastAsia="Times New Roman" w:hAnsi="Times New Roman" w:cs="Times New Roman"/>
          <w:color w:val="000000"/>
          <w:kern w:val="0"/>
          <w:lang w:eastAsia="en-GB"/>
          <w14:ligatures w14:val="none"/>
        </w:rPr>
        <w:br/>
        <w:t>Each migration wrapped in BEGIN/COMMIT transaction.</w:t>
      </w:r>
      <w:r w:rsidRPr="00172766">
        <w:rPr>
          <w:rFonts w:ascii="Times New Roman" w:eastAsia="Times New Roman" w:hAnsi="Times New Roman" w:cs="Times New Roman"/>
          <w:color w:val="000000"/>
          <w:kern w:val="0"/>
          <w:lang w:eastAsia="en-GB"/>
          <w14:ligatures w14:val="none"/>
        </w:rPr>
        <w:br/>
        <w:t>migrations/ folder is separate from src/ (schema definition ≠ application code).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Version history of every schema change </w:t>
      </w:r>
    </w:p>
    <w:p w:rsidR="00172766" w:rsidRPr="00172766" w:rsidRDefault="00172766" w:rsidP="00172766">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Reproducible: same migrations on dev and prod produce identical schema </w:t>
      </w:r>
    </w:p>
    <w:p w:rsidR="00172766" w:rsidRPr="00172766" w:rsidRDefault="00172766" w:rsidP="00172766">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Atomic: transaction wrapper means partial migrations never occur </w:t>
      </w:r>
    </w:p>
    <w:p w:rsidR="00172766" w:rsidRPr="00172766" w:rsidRDefault="00172766" w:rsidP="00172766">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Never modify a deployed migration file: always create a new version </w:t>
      </w:r>
    </w:p>
    <w:p w:rsidR="00172766" w:rsidRPr="00172766" w:rsidRDefault="00172766" w:rsidP="00172766">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UPDATE acceptable for data entry errors, INSERT (SCD2) for business changes </w:t>
      </w:r>
    </w:p>
    <w:p w:rsidR="00172766" w:rsidRPr="00172766" w:rsidRDefault="00BB7949" w:rsidP="00172766">
      <w:pPr>
        <w:spacing w:after="0" w:line="240" w:lineRule="auto"/>
        <w:rPr>
          <w:rFonts w:ascii="Times New Roman" w:eastAsia="Times New Roman" w:hAnsi="Times New Roman" w:cs="Times New Roman"/>
          <w:kern w:val="0"/>
          <w:lang w:eastAsia="en-GB"/>
          <w14:ligatures w14:val="none"/>
        </w:rPr>
      </w:pPr>
      <w:r w:rsidRPr="00BB7949">
        <w:rPr>
          <w:rFonts w:ascii="Times New Roman" w:eastAsia="Times New Roman" w:hAnsi="Times New Roman" w:cs="Times New Roman"/>
          <w:noProof/>
          <w:kern w:val="0"/>
          <w:lang w:eastAsia="en-GB"/>
        </w:rPr>
        <w:lastRenderedPageBreak/>
        <w:pict>
          <v:rect id="_x0000_i1025" alt="" style="width:451.3pt;height:.05pt;mso-width-percent:0;mso-height-percent:0;mso-width-percent:0;mso-height-percent:0" o:hralign="center" o:hrstd="t" o:hr="t" fillcolor="#a0a0a0" stroked="f"/>
        </w:pict>
      </w:r>
    </w:p>
    <w:p w:rsidR="00172766" w:rsidRPr="00172766" w:rsidRDefault="00172766" w:rsidP="0017276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72766">
        <w:rPr>
          <w:rFonts w:ascii="Times New Roman" w:eastAsia="Times New Roman" w:hAnsi="Times New Roman" w:cs="Times New Roman"/>
          <w:b/>
          <w:bCs/>
          <w:color w:val="000000"/>
          <w:kern w:val="0"/>
          <w:sz w:val="36"/>
          <w:szCs w:val="36"/>
          <w:lang w:eastAsia="en-GB"/>
          <w14:ligatures w14:val="none"/>
        </w:rPr>
        <w:t>ADR-012 — Docker Compose for local infrastructure</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Context:</w:t>
      </w:r>
      <w:r w:rsidRPr="00172766">
        <w:rPr>
          <w:rFonts w:ascii="Times New Roman" w:eastAsia="Times New Roman" w:hAnsi="Times New Roman" w:cs="Times New Roman"/>
          <w:color w:val="000000"/>
          <w:kern w:val="0"/>
          <w:lang w:eastAsia="en-GB"/>
          <w14:ligatures w14:val="none"/>
        </w:rPr>
        <w:br/>
        <w:t>POC requires 5 services (PostgreSQL, Redpanda, Redpanda Console, Kestra, Metabase) running locally with correct networking, health checks, and startup ordering.</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Decision:</w:t>
      </w:r>
      <w:r w:rsidRPr="00172766">
        <w:rPr>
          <w:rFonts w:ascii="Times New Roman" w:eastAsia="Times New Roman" w:hAnsi="Times New Roman" w:cs="Times New Roman"/>
          <w:color w:val="000000"/>
          <w:kern w:val="0"/>
          <w:lang w:eastAsia="en-GB"/>
          <w14:ligatures w14:val="none"/>
        </w:rPr>
        <w:br/>
        <w:t>Docker Compose with all services pinned to specific versions. .env file for all credentials and ports. Services use condition: service_healthy for dependency ordering.</w:t>
      </w:r>
    </w:p>
    <w:p w:rsidR="00172766" w:rsidRPr="00172766" w:rsidRDefault="00172766" w:rsidP="0017276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b/>
          <w:bCs/>
          <w:color w:val="000000"/>
          <w:kern w:val="0"/>
          <w:lang w:eastAsia="en-GB"/>
          <w14:ligatures w14:val="none"/>
        </w:rPr>
        <w:t>Consequences:</w:t>
      </w:r>
    </w:p>
    <w:p w:rsidR="00172766" w:rsidRPr="00172766" w:rsidRDefault="00172766" w:rsidP="00172766">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One command startup: docker-compose up -d </w:t>
      </w:r>
    </w:p>
    <w:p w:rsidR="00172766" w:rsidRPr="00172766" w:rsidRDefault="00172766" w:rsidP="00172766">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Version pinning: reproducible environment </w:t>
      </w:r>
    </w:p>
    <w:p w:rsidR="00172766" w:rsidRPr="00172766" w:rsidRDefault="00172766" w:rsidP="00172766">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Health checks: services start only when dependencies are truly ready </w:t>
      </w:r>
    </w:p>
    <w:p w:rsidR="00172766" w:rsidRPr="00172766" w:rsidRDefault="00172766" w:rsidP="00172766">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.env excluded from git: credentials never committed </w:t>
      </w:r>
    </w:p>
    <w:p w:rsidR="00172766" w:rsidRPr="00172766" w:rsidRDefault="00172766" w:rsidP="00172766">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72766">
        <w:rPr>
          <w:rFonts w:ascii="Times New Roman" w:eastAsia="Times New Roman" w:hAnsi="Times New Roman" w:cs="Times New Roman"/>
          <w:color w:val="000000"/>
          <w:kern w:val="0"/>
          <w:lang w:eastAsia="en-GB"/>
          <w14:ligatures w14:val="none"/>
        </w:rPr>
        <w:t xml:space="preserve">ARM64 Mac: Metabase requires platform: linux/amd64 (Rosetta emulation) </w:t>
      </w:r>
    </w:p>
    <w:p w:rsidR="00172766" w:rsidRDefault="00172766"/>
    <w:sectPr w:rsidR="001727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17C"/>
    <w:multiLevelType w:val="multilevel"/>
    <w:tmpl w:val="969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37062"/>
    <w:multiLevelType w:val="multilevel"/>
    <w:tmpl w:val="610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81722"/>
    <w:multiLevelType w:val="multilevel"/>
    <w:tmpl w:val="6C52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97BD3"/>
    <w:multiLevelType w:val="multilevel"/>
    <w:tmpl w:val="33E2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05131"/>
    <w:multiLevelType w:val="multilevel"/>
    <w:tmpl w:val="2E7A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621EB"/>
    <w:multiLevelType w:val="multilevel"/>
    <w:tmpl w:val="FB84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E87622"/>
    <w:multiLevelType w:val="multilevel"/>
    <w:tmpl w:val="986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E42AD7"/>
    <w:multiLevelType w:val="multilevel"/>
    <w:tmpl w:val="65D8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96646C"/>
    <w:multiLevelType w:val="multilevel"/>
    <w:tmpl w:val="A2F63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918ED"/>
    <w:multiLevelType w:val="multilevel"/>
    <w:tmpl w:val="EE84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61042"/>
    <w:multiLevelType w:val="multilevel"/>
    <w:tmpl w:val="DCCA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D83819"/>
    <w:multiLevelType w:val="multilevel"/>
    <w:tmpl w:val="CB84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2599B"/>
    <w:multiLevelType w:val="multilevel"/>
    <w:tmpl w:val="9EB2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691F94"/>
    <w:multiLevelType w:val="multilevel"/>
    <w:tmpl w:val="345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425A9"/>
    <w:multiLevelType w:val="multilevel"/>
    <w:tmpl w:val="FE9E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710646">
    <w:abstractNumId w:val="5"/>
  </w:num>
  <w:num w:numId="2" w16cid:durableId="1552038885">
    <w:abstractNumId w:val="10"/>
  </w:num>
  <w:num w:numId="3" w16cid:durableId="15741380">
    <w:abstractNumId w:val="1"/>
  </w:num>
  <w:num w:numId="4" w16cid:durableId="1032413138">
    <w:abstractNumId w:val="14"/>
  </w:num>
  <w:num w:numId="5" w16cid:durableId="1346899752">
    <w:abstractNumId w:val="7"/>
  </w:num>
  <w:num w:numId="6" w16cid:durableId="654728044">
    <w:abstractNumId w:val="4"/>
  </w:num>
  <w:num w:numId="7" w16cid:durableId="1855026290">
    <w:abstractNumId w:val="2"/>
  </w:num>
  <w:num w:numId="8" w16cid:durableId="923684404">
    <w:abstractNumId w:val="3"/>
  </w:num>
  <w:num w:numId="9" w16cid:durableId="58019002">
    <w:abstractNumId w:val="12"/>
  </w:num>
  <w:num w:numId="10" w16cid:durableId="1411734900">
    <w:abstractNumId w:val="8"/>
  </w:num>
  <w:num w:numId="11" w16cid:durableId="874579230">
    <w:abstractNumId w:val="13"/>
  </w:num>
  <w:num w:numId="12" w16cid:durableId="141194269">
    <w:abstractNumId w:val="0"/>
  </w:num>
  <w:num w:numId="13" w16cid:durableId="1318533655">
    <w:abstractNumId w:val="11"/>
  </w:num>
  <w:num w:numId="14" w16cid:durableId="510072244">
    <w:abstractNumId w:val="6"/>
  </w:num>
  <w:num w:numId="15" w16cid:durableId="17251062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66"/>
    <w:rsid w:val="00172766"/>
    <w:rsid w:val="00762898"/>
    <w:rsid w:val="00B60DB1"/>
    <w:rsid w:val="00BB7949"/>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F0288"/>
  <w15:chartTrackingRefBased/>
  <w15:docId w15:val="{ACCAE3A0-D83E-F549-ACE6-FE82E6641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727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27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27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27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27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727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27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27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27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27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66"/>
    <w:rPr>
      <w:rFonts w:eastAsiaTheme="majorEastAsia" w:cstheme="majorBidi"/>
      <w:color w:val="272727" w:themeColor="text1" w:themeTint="D8"/>
    </w:rPr>
  </w:style>
  <w:style w:type="paragraph" w:styleId="Title">
    <w:name w:val="Title"/>
    <w:basedOn w:val="Normal"/>
    <w:next w:val="Normal"/>
    <w:link w:val="TitleChar"/>
    <w:uiPriority w:val="10"/>
    <w:qFormat/>
    <w:rsid w:val="001727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66"/>
    <w:pPr>
      <w:spacing w:before="160"/>
      <w:jc w:val="center"/>
    </w:pPr>
    <w:rPr>
      <w:i/>
      <w:iCs/>
      <w:color w:val="404040" w:themeColor="text1" w:themeTint="BF"/>
    </w:rPr>
  </w:style>
  <w:style w:type="character" w:customStyle="1" w:styleId="QuoteChar">
    <w:name w:val="Quote Char"/>
    <w:basedOn w:val="DefaultParagraphFont"/>
    <w:link w:val="Quote"/>
    <w:uiPriority w:val="29"/>
    <w:rsid w:val="00172766"/>
    <w:rPr>
      <w:i/>
      <w:iCs/>
      <w:color w:val="404040" w:themeColor="text1" w:themeTint="BF"/>
    </w:rPr>
  </w:style>
  <w:style w:type="paragraph" w:styleId="ListParagraph">
    <w:name w:val="List Paragraph"/>
    <w:basedOn w:val="Normal"/>
    <w:uiPriority w:val="34"/>
    <w:qFormat/>
    <w:rsid w:val="00172766"/>
    <w:pPr>
      <w:ind w:left="720"/>
      <w:contextualSpacing/>
    </w:pPr>
  </w:style>
  <w:style w:type="character" w:styleId="IntenseEmphasis">
    <w:name w:val="Intense Emphasis"/>
    <w:basedOn w:val="DefaultParagraphFont"/>
    <w:uiPriority w:val="21"/>
    <w:qFormat/>
    <w:rsid w:val="00172766"/>
    <w:rPr>
      <w:i/>
      <w:iCs/>
      <w:color w:val="2F5496" w:themeColor="accent1" w:themeShade="BF"/>
    </w:rPr>
  </w:style>
  <w:style w:type="paragraph" w:styleId="IntenseQuote">
    <w:name w:val="Intense Quote"/>
    <w:basedOn w:val="Normal"/>
    <w:next w:val="Normal"/>
    <w:link w:val="IntenseQuoteChar"/>
    <w:uiPriority w:val="30"/>
    <w:qFormat/>
    <w:rsid w:val="001727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2766"/>
    <w:rPr>
      <w:i/>
      <w:iCs/>
      <w:color w:val="2F5496" w:themeColor="accent1" w:themeShade="BF"/>
    </w:rPr>
  </w:style>
  <w:style w:type="character" w:styleId="IntenseReference">
    <w:name w:val="Intense Reference"/>
    <w:basedOn w:val="DefaultParagraphFont"/>
    <w:uiPriority w:val="32"/>
    <w:qFormat/>
    <w:rsid w:val="00172766"/>
    <w:rPr>
      <w:b/>
      <w:bCs/>
      <w:smallCaps/>
      <w:color w:val="2F5496" w:themeColor="accent1" w:themeShade="BF"/>
      <w:spacing w:val="5"/>
    </w:rPr>
  </w:style>
  <w:style w:type="paragraph" w:styleId="NormalWeb">
    <w:name w:val="Normal (Web)"/>
    <w:basedOn w:val="Normal"/>
    <w:uiPriority w:val="99"/>
    <w:semiHidden/>
    <w:unhideWhenUsed/>
    <w:rsid w:val="0017276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72766"/>
    <w:rPr>
      <w:b/>
      <w:bCs/>
    </w:rPr>
  </w:style>
  <w:style w:type="character" w:customStyle="1" w:styleId="apple-converted-space">
    <w:name w:val="apple-converted-space"/>
    <w:basedOn w:val="DefaultParagraphFont"/>
    <w:rsid w:val="00172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1257</Words>
  <Characters>7167</Characters>
  <Application>Microsoft Office Word</Application>
  <DocSecurity>0</DocSecurity>
  <Lines>59</Lines>
  <Paragraphs>16</Paragraphs>
  <ScaleCrop>false</ScaleCrop>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Quintin</dc:creator>
  <cp:keywords/>
  <dc:description/>
  <cp:lastModifiedBy>Alexandre Quintin</cp:lastModifiedBy>
  <cp:revision>2</cp:revision>
  <dcterms:created xsi:type="dcterms:W3CDTF">2026-03-15T13:03:00Z</dcterms:created>
  <dcterms:modified xsi:type="dcterms:W3CDTF">2026-03-15T13:40:00Z</dcterms:modified>
</cp:coreProperties>
</file>