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sz w:val="36"/>
          <w:szCs w:val="36"/>
        </w:rPr>
        <w:t xml:space="preserve">Architecture Decision Records</w:t>
      </w:r>
    </w:p>
    <w:p>
      <w:pPr>
        <w:spacing w:after="200"/>
        <w:jc w:val="center"/>
      </w:pPr>
      <w:r>
        <w:rPr>
          <w:rFonts w:ascii="Arial" w:cs="Arial" w:eastAsia="Arial" w:hAnsi="Arial"/>
          <w:color w:val="666666"/>
          <w:sz w:val="26"/>
          <w:szCs w:val="26"/>
        </w:rPr>
        <w:t xml:space="preserve">Sport Data Solution — POC Avantages Sportifs</w:t>
      </w:r>
    </w:p>
    <w:p>
      <w:pPr>
        <w:spacing w:after="400"/>
      </w:pPr>
      <w:r>
        <w:rPr>
          <w:rFonts w:ascii="Arial" w:cs="Arial" w:eastAsia="Arial" w:hAnsi="Arial"/>
          <w:i/>
          <w:iCs/>
          <w:color w:val="444444"/>
          <w:sz w:val="22"/>
          <w:szCs w:val="22"/>
        </w:rPr>
        <w:t xml:space="preserve">Ce document recense chaque décision technique significative prise durant le projet. Format : contexte → décision → conséquences. Ne jamais supprimer un ADR — les décisions remplacées restent pour le contexte historique.</w:t>
      </w:r>
    </w:p>
    <w:p>
      <w:pPr>
        <w:pStyle w:val="Heading1"/>
        <w:spacing w:before="200" w:after="200"/>
      </w:pPr>
      <w:r>
        <w:rPr>
          <w:rFonts w:ascii="Arial" w:cs="Arial" w:eastAsia="Arial" w:hAnsi="Arial"/>
          <w:b/>
          <w:bCs/>
          <w:sz w:val="28"/>
          <w:szCs w:val="28"/>
        </w:rPr>
        <w:t xml:space="preserve">ADR-001 — PostgreSQL comme base de données principale</w:t>
      </w:r>
    </w:p>
    <w:p>
      <w:pPr>
        <w:spacing w:after="60"/>
      </w:pPr>
      <w:r>
        <w:rPr>
          <w:rFonts w:ascii="Arial" w:cs="Arial" w:eastAsia="Arial" w:hAnsi="Arial"/>
          <w:b/>
          <w:bCs/>
          <w:sz w:val="22"/>
          <w:szCs w:val="22"/>
        </w:rPr>
        <w:t xml:space="preserve">Contexte :</w:t>
      </w:r>
    </w:p>
    <w:p>
      <w:pPr>
        <w:spacing w:after="160"/>
      </w:pPr>
      <w:r>
        <w:rPr>
          <w:rFonts w:ascii="Arial" w:cs="Arial" w:eastAsia="Arial" w:hAnsi="Arial"/>
          <w:sz w:val="22"/>
          <w:szCs w:val="22"/>
        </w:rPr>
        <w:t xml:space="preserve">Nous avons besoin d'une base de données relationnelle pour stocker les données RH, les activités sportives, les règles métier et les bénéfices calculés. Les données ont des relations claires (employé → activités → bénéfices) et nécessitent la conformité ACID pour les calculs financiers.</w:t>
      </w:r>
    </w:p>
    <w:p>
      <w:pPr>
        <w:spacing w:after="60"/>
      </w:pPr>
      <w:r>
        <w:rPr>
          <w:rFonts w:ascii="Arial" w:cs="Arial" w:eastAsia="Arial" w:hAnsi="Arial"/>
          <w:b/>
          <w:bCs/>
          <w:sz w:val="22"/>
          <w:szCs w:val="22"/>
        </w:rPr>
        <w:t xml:space="preserve">Décision :</w:t>
      </w:r>
    </w:p>
    <w:p>
      <w:pPr>
        <w:spacing w:after="160"/>
      </w:pPr>
      <w:r>
        <w:rPr>
          <w:rFonts w:ascii="Arial" w:cs="Arial" w:eastAsia="Arial" w:hAnsi="Arial"/>
          <w:sz w:val="22"/>
          <w:szCs w:val="22"/>
        </w:rPr>
        <w:t xml:space="preserve">PostgreSQL 15.7, version fixée.</w:t>
      </w:r>
    </w:p>
    <w:p>
      <w:pPr>
        <w:spacing w:after="60"/>
      </w:pPr>
      <w:r>
        <w:rPr>
          <w:rFonts w:ascii="Arial" w:cs="Arial" w:eastAsia="Arial" w:hAnsi="Arial"/>
          <w:b/>
          <w:bCs/>
          <w:sz w:val="22"/>
          <w:szCs w:val="22"/>
        </w:rPr>
        <w:t xml:space="preserve">Conséquences :</w:t>
      </w:r>
    </w:p>
    <w:p>
      <w:pPr>
        <w:spacing w:after="40"/>
      </w:pPr>
      <w:r>
        <w:rPr>
          <w:rFonts w:ascii="Arial" w:cs="Arial" w:eastAsia="Arial" w:hAnsi="Arial"/>
          <w:sz w:val="22"/>
          <w:szCs w:val="22"/>
        </w:rPr>
        <w:t xml:space="preserve">  •  Conformité ACID complète pour les données financières</w:t>
      </w:r>
    </w:p>
    <w:p>
      <w:pPr>
        <w:spacing w:after="40"/>
      </w:pPr>
      <w:r>
        <w:rPr>
          <w:rFonts w:ascii="Arial" w:cs="Arial" w:eastAsia="Arial" w:hAnsi="Arial"/>
          <w:sz w:val="22"/>
          <w:szCs w:val="22"/>
        </w:rPr>
        <w:t xml:space="preserve">  •  Extension pgcrypto pour le chiffrement des colonnes PII</w:t>
      </w:r>
    </w:p>
    <w:p>
      <w:pPr>
        <w:spacing w:after="40"/>
      </w:pPr>
      <w:r>
        <w:rPr>
          <w:rFonts w:ascii="Arial" w:cs="Arial" w:eastAsia="Arial" w:hAnsi="Arial"/>
          <w:sz w:val="22"/>
          <w:szCs w:val="22"/>
        </w:rPr>
        <w:t xml:space="preserve">  •  Types ENUM natifs pour transport_mode, activity_type</w:t>
      </w:r>
    </w:p>
    <w:p>
      <w:pPr>
        <w:spacing w:after="40"/>
      </w:pPr>
      <w:r>
        <w:rPr>
          <w:rFonts w:ascii="Arial" w:cs="Arial" w:eastAsia="Arial" w:hAnsi="Arial"/>
          <w:sz w:val="22"/>
          <w:szCs w:val="22"/>
        </w:rPr>
        <w:t xml:space="preserve">  •  Nécessite des bases dédiées par application (voir ADR-007)</w:t>
      </w:r>
    </w:p>
    <w:p>
      <w:pPr>
        <w:pStyle w:val="Heading1"/>
        <w:spacing w:before="400" w:after="200"/>
      </w:pPr>
      <w:r>
        <w:rPr>
          <w:rFonts w:ascii="Arial" w:cs="Arial" w:eastAsia="Arial" w:hAnsi="Arial"/>
          <w:b/>
          <w:bCs/>
          <w:sz w:val="28"/>
          <w:szCs w:val="28"/>
        </w:rPr>
        <w:t xml:space="preserve">ADR-002 — Redpanda comme broker de messages</w:t>
      </w:r>
    </w:p>
    <w:p>
      <w:pPr>
        <w:spacing w:after="60"/>
      </w:pPr>
      <w:r>
        <w:rPr>
          <w:rFonts w:ascii="Arial" w:cs="Arial" w:eastAsia="Arial" w:hAnsi="Arial"/>
          <w:b/>
          <w:bCs/>
          <w:sz w:val="22"/>
          <w:szCs w:val="22"/>
        </w:rPr>
        <w:t xml:space="preserve">Contexte :</w:t>
      </w:r>
    </w:p>
    <w:p>
      <w:pPr>
        <w:spacing w:after="160"/>
      </w:pPr>
      <w:r>
        <w:rPr>
          <w:rFonts w:ascii="Arial" w:cs="Arial" w:eastAsia="Arial" w:hAnsi="Arial"/>
          <w:sz w:val="22"/>
          <w:szCs w:val="22"/>
        </w:rPr>
        <w:t xml:space="preserve">Nous avons besoin d'un broker de messages pour publier les événements d'activités sportives et déclencher les notifications Slack. Kafka est le standard industriel mais a une surcharge opérationnelle importante pour un POC.</w:t>
      </w:r>
    </w:p>
    <w:p>
      <w:pPr>
        <w:spacing w:after="60"/>
      </w:pPr>
      <w:r>
        <w:rPr>
          <w:rFonts w:ascii="Arial" w:cs="Arial" w:eastAsia="Arial" w:hAnsi="Arial"/>
          <w:b/>
          <w:bCs/>
          <w:sz w:val="22"/>
          <w:szCs w:val="22"/>
        </w:rPr>
        <w:t xml:space="preserve">Décision :</w:t>
      </w:r>
    </w:p>
    <w:p>
      <w:pPr>
        <w:spacing w:after="160"/>
      </w:pPr>
      <w:r>
        <w:rPr>
          <w:rFonts w:ascii="Arial" w:cs="Arial" w:eastAsia="Arial" w:hAnsi="Arial"/>
          <w:sz w:val="22"/>
          <w:szCs w:val="22"/>
        </w:rPr>
        <w:t xml:space="preserve">Redpanda v24.2.7 — API compatible Kafka, pas de dépendance ZooKeeper, binaire unique.</w:t>
      </w:r>
    </w:p>
    <w:p>
      <w:pPr>
        <w:spacing w:after="60"/>
      </w:pPr>
      <w:r>
        <w:rPr>
          <w:rFonts w:ascii="Arial" w:cs="Arial" w:eastAsia="Arial" w:hAnsi="Arial"/>
          <w:b/>
          <w:bCs/>
          <w:sz w:val="22"/>
          <w:szCs w:val="22"/>
        </w:rPr>
        <w:t xml:space="preserve">Conséquences :</w:t>
      </w:r>
    </w:p>
    <w:p>
      <w:pPr>
        <w:spacing w:after="40"/>
      </w:pPr>
      <w:r>
        <w:rPr>
          <w:rFonts w:ascii="Arial" w:cs="Arial" w:eastAsia="Arial" w:hAnsi="Arial"/>
          <w:sz w:val="22"/>
          <w:szCs w:val="22"/>
        </w:rPr>
        <w:t xml:space="preserve">  •  Compatible Kafka : migration future vers Kafka sans changement de code</w:t>
      </w:r>
    </w:p>
    <w:p>
      <w:pPr>
        <w:spacing w:after="40"/>
      </w:pPr>
      <w:r>
        <w:rPr>
          <w:rFonts w:ascii="Arial" w:cs="Arial" w:eastAsia="Arial" w:hAnsi="Arial"/>
          <w:sz w:val="22"/>
          <w:szCs w:val="22"/>
        </w:rPr>
        <w:t xml:space="preserve">  •  Zéro ZooKeeper : setup Docker simplifié</w:t>
      </w:r>
    </w:p>
    <w:p>
      <w:pPr>
        <w:spacing w:after="40"/>
      </w:pPr>
      <w:r>
        <w:rPr>
          <w:rFonts w:ascii="Arial" w:cs="Arial" w:eastAsia="Arial" w:hAnsi="Arial"/>
          <w:sz w:val="22"/>
          <w:szCs w:val="22"/>
        </w:rPr>
        <w:t xml:space="preserve">  •  Communauté plus petite que Kafka</w:t>
      </w:r>
    </w:p>
    <w:p>
      <w:pPr>
        <w:spacing w:after="40"/>
      </w:pPr>
      <w:r>
        <w:rPr>
          <w:rFonts w:ascii="Arial" w:cs="Arial" w:eastAsia="Arial" w:hAnsi="Arial"/>
          <w:sz w:val="22"/>
          <w:szCs w:val="22"/>
        </w:rPr>
        <w:t xml:space="preserve">  •  Non adapté aux très hauts débits en production</w:t>
      </w:r>
    </w:p>
    <w:p>
      <w:pPr>
        <w:pStyle w:val="Heading1"/>
        <w:spacing w:before="400" w:after="200"/>
      </w:pPr>
      <w:r>
        <w:rPr>
          <w:rFonts w:ascii="Arial" w:cs="Arial" w:eastAsia="Arial" w:hAnsi="Arial"/>
          <w:b/>
          <w:bCs/>
          <w:sz w:val="28"/>
          <w:szCs w:val="28"/>
        </w:rPr>
        <w:t xml:space="preserve">ADR-003 — Kestra comme outil d'orchestration</w:t>
      </w:r>
    </w:p>
    <w:p>
      <w:pPr>
        <w:spacing w:after="60"/>
      </w:pPr>
      <w:r>
        <w:rPr>
          <w:rFonts w:ascii="Arial" w:cs="Arial" w:eastAsia="Arial" w:hAnsi="Arial"/>
          <w:b/>
          <w:bCs/>
          <w:sz w:val="22"/>
          <w:szCs w:val="22"/>
        </w:rPr>
        <w:t xml:space="preserve">Contexte :</w:t>
      </w:r>
    </w:p>
    <w:p>
      <w:pPr>
        <w:spacing w:after="160"/>
      </w:pPr>
      <w:r>
        <w:rPr>
          <w:rFonts w:ascii="Arial" w:cs="Arial" w:eastAsia="Arial" w:hAnsi="Arial"/>
          <w:sz w:val="22"/>
          <w:szCs w:val="22"/>
        </w:rPr>
        <w:t xml:space="preserve">Nous avons besoin d'un outil d'orchestration pour planifier et exécuter les pipelines ETL, gérer les dépendances entre tâches, et fournir un monitoring des exécutions.</w:t>
      </w:r>
    </w:p>
    <w:p>
      <w:pPr>
        <w:spacing w:after="60"/>
      </w:pPr>
      <w:r>
        <w:rPr>
          <w:rFonts w:ascii="Arial" w:cs="Arial" w:eastAsia="Arial" w:hAnsi="Arial"/>
          <w:b/>
          <w:bCs/>
          <w:sz w:val="22"/>
          <w:szCs w:val="22"/>
        </w:rPr>
        <w:t xml:space="preserve">Décision :</w:t>
      </w:r>
    </w:p>
    <w:p>
      <w:pPr>
        <w:spacing w:after="160"/>
      </w:pPr>
      <w:r>
        <w:rPr>
          <w:rFonts w:ascii="Arial" w:cs="Arial" w:eastAsia="Arial" w:hAnsi="Arial"/>
          <w:sz w:val="22"/>
          <w:szCs w:val="22"/>
        </w:rPr>
        <w:t xml:space="preserve">Kestra v0.18.0 — définitions de flows en YAML, backend PostgreSQL, UI intégrée.</w:t>
      </w:r>
    </w:p>
    <w:p>
      <w:pPr>
        <w:spacing w:after="60"/>
      </w:pPr>
      <w:r>
        <w:rPr>
          <w:rFonts w:ascii="Arial" w:cs="Arial" w:eastAsia="Arial" w:hAnsi="Arial"/>
          <w:b/>
          <w:bCs/>
          <w:sz w:val="22"/>
          <w:szCs w:val="22"/>
        </w:rPr>
        <w:t xml:space="preserve">Conséquences :</w:t>
      </w:r>
    </w:p>
    <w:p>
      <w:pPr>
        <w:spacing w:after="40"/>
      </w:pPr>
      <w:r>
        <w:rPr>
          <w:rFonts w:ascii="Arial" w:cs="Arial" w:eastAsia="Arial" w:hAnsi="Arial"/>
          <w:sz w:val="22"/>
          <w:szCs w:val="22"/>
        </w:rPr>
        <w:t xml:space="preserve">  •  Flows YAML : lisibles par les non-développeurs</w:t>
      </w:r>
    </w:p>
    <w:p>
      <w:pPr>
        <w:spacing w:after="40"/>
      </w:pPr>
      <w:r>
        <w:rPr>
          <w:rFonts w:ascii="Arial" w:cs="Arial" w:eastAsia="Arial" w:hAnsi="Arial"/>
          <w:sz w:val="22"/>
          <w:szCs w:val="22"/>
        </w:rPr>
        <w:t xml:space="preserve">  •  UI de monitoring intégrée sur le port 8080</w:t>
      </w:r>
    </w:p>
    <w:p>
      <w:pPr>
        <w:spacing w:after="40"/>
      </w:pPr>
      <w:r>
        <w:rPr>
          <w:rFonts w:ascii="Arial" w:cs="Arial" w:eastAsia="Arial" w:hAnsi="Arial"/>
          <w:sz w:val="22"/>
          <w:szCs w:val="22"/>
        </w:rPr>
        <w:t xml:space="preserve">  •  466 plugins disponibles couvrant HTTP, bases de données, messagerie</w:t>
      </w:r>
    </w:p>
    <w:p>
      <w:pPr>
        <w:spacing w:after="40"/>
      </w:pPr>
      <w:r>
        <w:rPr>
          <w:rFonts w:ascii="Arial" w:cs="Arial" w:eastAsia="Arial" w:hAnsi="Arial"/>
          <w:sz w:val="22"/>
          <w:szCs w:val="22"/>
        </w:rPr>
        <w:t xml:space="preserve">  •  Nécessite une base PostgreSQL dédiée (kestradb) pour son état interne</w:t>
      </w:r>
    </w:p>
    <w:p>
      <w:pPr>
        <w:spacing w:after="40"/>
      </w:pPr>
      <w:r>
        <w:rPr>
          <w:rFonts w:ascii="Arial" w:cs="Arial" w:eastAsia="Arial" w:hAnsi="Arial"/>
          <w:sz w:val="22"/>
          <w:szCs w:val="22"/>
        </w:rPr>
        <w:t xml:space="preserve">  •  Framework Micronaut : config camelCase nécessite le bloc KESTRA_CONFIGURATION (voir ADR-008)</w:t>
      </w:r>
    </w:p>
    <w:p>
      <w:pPr>
        <w:pStyle w:val="Heading1"/>
        <w:spacing w:before="400" w:after="200"/>
      </w:pPr>
      <w:r>
        <w:rPr>
          <w:rFonts w:ascii="Arial" w:cs="Arial" w:eastAsia="Arial" w:hAnsi="Arial"/>
          <w:b/>
          <w:bCs/>
          <w:sz w:val="28"/>
          <w:szCs w:val="28"/>
        </w:rPr>
        <w:t xml:space="preserve">ADR-004 — Metabase pour la visualisation des données</w:t>
      </w:r>
    </w:p>
    <w:p>
      <w:pPr>
        <w:spacing w:after="60"/>
      </w:pPr>
      <w:r>
        <w:rPr>
          <w:rFonts w:ascii="Arial" w:cs="Arial" w:eastAsia="Arial" w:hAnsi="Arial"/>
          <w:b/>
          <w:bCs/>
          <w:sz w:val="22"/>
          <w:szCs w:val="22"/>
        </w:rPr>
        <w:t xml:space="preserve">Contexte :</w:t>
      </w:r>
    </w:p>
    <w:p>
      <w:pPr>
        <w:spacing w:after="160"/>
      </w:pPr>
      <w:r>
        <w:rPr>
          <w:rFonts w:ascii="Arial" w:cs="Arial" w:eastAsia="Arial" w:hAnsi="Arial"/>
          <w:sz w:val="22"/>
          <w:szCs w:val="22"/>
        </w:rPr>
        <w:t xml:space="preserve">Juliette a besoin d'un dashboard pour visualiser les KPIs : impact financier des avantages, distribution des activités sportives, employés éligibles. L'outil doit être accessible aux utilisateurs non techniques.</w:t>
      </w:r>
    </w:p>
    <w:p>
      <w:pPr>
        <w:spacing w:after="60"/>
      </w:pPr>
      <w:r>
        <w:rPr>
          <w:rFonts w:ascii="Arial" w:cs="Arial" w:eastAsia="Arial" w:hAnsi="Arial"/>
          <w:b/>
          <w:bCs/>
          <w:sz w:val="22"/>
          <w:szCs w:val="22"/>
        </w:rPr>
        <w:t xml:space="preserve">Décision :</w:t>
      </w:r>
    </w:p>
    <w:p>
      <w:pPr>
        <w:spacing w:after="160"/>
      </w:pPr>
      <w:r>
        <w:rPr>
          <w:rFonts w:ascii="Arial" w:cs="Arial" w:eastAsia="Arial" w:hAnsi="Arial"/>
          <w:sz w:val="22"/>
          <w:szCs w:val="22"/>
        </w:rPr>
        <w:t xml:space="preserve">Metabase v0.50.24 — constructeur de dashboards no-code, connexion directe à PostgreSQL.</w:t>
      </w:r>
    </w:p>
    <w:p>
      <w:pPr>
        <w:spacing w:after="60"/>
      </w:pPr>
      <w:r>
        <w:rPr>
          <w:rFonts w:ascii="Arial" w:cs="Arial" w:eastAsia="Arial" w:hAnsi="Arial"/>
          <w:b/>
          <w:bCs/>
          <w:sz w:val="22"/>
          <w:szCs w:val="22"/>
        </w:rPr>
        <w:t xml:space="preserve">Conséquences :</w:t>
      </w:r>
    </w:p>
    <w:p>
      <w:pPr>
        <w:spacing w:after="40"/>
      </w:pPr>
      <w:r>
        <w:rPr>
          <w:rFonts w:ascii="Arial" w:cs="Arial" w:eastAsia="Arial" w:hAnsi="Arial"/>
          <w:sz w:val="22"/>
          <w:szCs w:val="22"/>
        </w:rPr>
        <w:t xml:space="preserve">  •  No-code : Juliette peut créer de nouveaux dashboards sans aide développeur</w:t>
      </w:r>
    </w:p>
    <w:p>
      <w:pPr>
        <w:spacing w:after="40"/>
      </w:pPr>
      <w:r>
        <w:rPr>
          <w:rFonts w:ascii="Arial" w:cs="Arial" w:eastAsia="Arial" w:hAnsi="Arial"/>
          <w:sz w:val="22"/>
          <w:szCs w:val="22"/>
        </w:rPr>
        <w:t xml:space="preserve">  •  Connexion PostgreSQL directe : pas de couche ETL nécessaire pour le reporting</w:t>
      </w:r>
    </w:p>
    <w:p>
      <w:pPr>
        <w:spacing w:after="40"/>
      </w:pPr>
      <w:r>
        <w:rPr>
          <w:rFonts w:ascii="Arial" w:cs="Arial" w:eastAsia="Arial" w:hAnsi="Arial"/>
          <w:sz w:val="22"/>
          <w:szCs w:val="22"/>
        </w:rPr>
        <w:t xml:space="preserve">  •  Nécessite une base PostgreSQL dédiée (metabasedb) pour son état interne</w:t>
      </w:r>
    </w:p>
    <w:p>
      <w:pPr>
        <w:spacing w:after="40"/>
      </w:pPr>
      <w:r>
        <w:rPr>
          <w:rFonts w:ascii="Arial" w:cs="Arial" w:eastAsia="Arial" w:hAnsi="Arial"/>
          <w:sz w:val="22"/>
          <w:szCs w:val="22"/>
        </w:rPr>
        <w:t xml:space="preserve">  •  Image AMD64 sur Mac ARM64 : fonctionne via émulation Rosetta, démarrage plus lent</w:t>
      </w:r>
    </w:p>
    <w:p>
      <w:pPr>
        <w:pStyle w:val="Heading1"/>
        <w:spacing w:before="400" w:after="200"/>
      </w:pPr>
      <w:r>
        <w:rPr>
          <w:rFonts w:ascii="Arial" w:cs="Arial" w:eastAsia="Arial" w:hAnsi="Arial"/>
          <w:b/>
          <w:bCs/>
          <w:sz w:val="28"/>
          <w:szCs w:val="28"/>
        </w:rPr>
        <w:t xml:space="preserve">ADR-005 — pgcrypto pour le chiffrement des colonnes PII</w:t>
      </w:r>
    </w:p>
    <w:p>
      <w:pPr>
        <w:spacing w:after="60"/>
      </w:pPr>
      <w:r>
        <w:rPr>
          <w:rFonts w:ascii="Arial" w:cs="Arial" w:eastAsia="Arial" w:hAnsi="Arial"/>
          <w:b/>
          <w:bCs/>
          <w:sz w:val="22"/>
          <w:szCs w:val="22"/>
        </w:rPr>
        <w:t xml:space="preserve">Contexte :</w:t>
      </w:r>
    </w:p>
    <w:p>
      <w:pPr>
        <w:spacing w:after="160"/>
      </w:pPr>
      <w:r>
        <w:rPr>
          <w:rFonts w:ascii="Arial" w:cs="Arial" w:eastAsia="Arial" w:hAnsi="Arial"/>
          <w:sz w:val="22"/>
          <w:szCs w:val="22"/>
        </w:rPr>
        <w:t xml:space="preserve">Les données RH contiennent des PII : noms, dates de naissance, salaires, adresses. Le RGPD exige la protection des données personnelles. Les données doivent être chiffrées au repos.</w:t>
      </w:r>
    </w:p>
    <w:p>
      <w:pPr>
        <w:spacing w:after="60"/>
      </w:pPr>
      <w:r>
        <w:rPr>
          <w:rFonts w:ascii="Arial" w:cs="Arial" w:eastAsia="Arial" w:hAnsi="Arial"/>
          <w:b/>
          <w:bCs/>
          <w:sz w:val="22"/>
          <w:szCs w:val="22"/>
        </w:rPr>
        <w:t xml:space="preserve">Décision :</w:t>
      </w:r>
    </w:p>
    <w:p>
      <w:pPr>
        <w:spacing w:after="160"/>
      </w:pPr>
      <w:r>
        <w:rPr>
          <w:rFonts w:ascii="Arial" w:cs="Arial" w:eastAsia="Arial" w:hAnsi="Arial"/>
          <w:sz w:val="22"/>
          <w:szCs w:val="22"/>
        </w:rPr>
        <w:t xml:space="preserve">pgp_sym_encrypt() / pgp_sym_decrypt() via l'extension pgcrypto de PostgreSQL. Colonnes chiffrées stockées en BYTEA.</w:t>
      </w:r>
    </w:p>
    <w:p>
      <w:pPr>
        <w:spacing w:after="60"/>
      </w:pPr>
      <w:r>
        <w:rPr>
          <w:rFonts w:ascii="Arial" w:cs="Arial" w:eastAsia="Arial" w:hAnsi="Arial"/>
          <w:b/>
          <w:bCs/>
          <w:sz w:val="22"/>
          <w:szCs w:val="22"/>
        </w:rPr>
        <w:t xml:space="preserve">Conséquences :</w:t>
      </w:r>
    </w:p>
    <w:p>
      <w:pPr>
        <w:spacing w:after="40"/>
      </w:pPr>
      <w:r>
        <w:rPr>
          <w:rFonts w:ascii="Arial" w:cs="Arial" w:eastAsia="Arial" w:hAnsi="Arial"/>
          <w:sz w:val="22"/>
          <w:szCs w:val="22"/>
        </w:rPr>
        <w:t xml:space="preserve">  •  Chiffrement au niveau colonne : protège contre l'accès direct à la base</w:t>
      </w:r>
    </w:p>
    <w:p>
      <w:pPr>
        <w:spacing w:after="40"/>
      </w:pPr>
      <w:r>
        <w:rPr>
          <w:rFonts w:ascii="Arial" w:cs="Arial" w:eastAsia="Arial" w:hAnsi="Arial"/>
          <w:sz w:val="22"/>
          <w:szCs w:val="22"/>
        </w:rPr>
        <w:t xml:space="preserve">  •  Chiffrement symétrique : une seule clé requise pour chiffrer/déchiffrer</w:t>
      </w:r>
    </w:p>
    <w:p>
      <w:pPr>
        <w:spacing w:after="40"/>
      </w:pPr>
      <w:r>
        <w:rPr>
          <w:rFonts w:ascii="Arial" w:cs="Arial" w:eastAsia="Arial" w:hAnsi="Arial"/>
          <w:sz w:val="22"/>
          <w:szCs w:val="22"/>
        </w:rPr>
        <w:t xml:space="preserve">  •  rh_employee_id laissé en clair : c'est un identifiant anonyme (pas de PII)</w:t>
      </w:r>
    </w:p>
    <w:p>
      <w:pPr>
        <w:spacing w:after="40"/>
      </w:pPr>
      <w:r>
        <w:rPr>
          <w:rFonts w:ascii="Arial" w:cs="Arial" w:eastAsia="Arial" w:hAnsi="Arial"/>
          <w:sz w:val="22"/>
          <w:szCs w:val="22"/>
        </w:rPr>
        <w:t xml:space="preserve">  •  Les colonnes chiffrées ne peuvent pas être utilisées dans les clauses WHERE ou index</w:t>
      </w:r>
    </w:p>
    <w:p>
      <w:pPr>
        <w:spacing w:after="40"/>
      </w:pPr>
      <w:r>
        <w:rPr>
          <w:rFonts w:ascii="Arial" w:cs="Arial" w:eastAsia="Arial" w:hAnsi="Arial"/>
          <w:sz w:val="22"/>
          <w:szCs w:val="22"/>
        </w:rPr>
        <w:t xml:space="preserve">  •  La gestion de la clé est de la responsabilité de l'environnement de déploiement</w:t>
      </w:r>
    </w:p>
    <w:p>
      <w:pPr>
        <w:pStyle w:val="Heading1"/>
        <w:spacing w:before="400" w:after="200"/>
      </w:pPr>
      <w:r>
        <w:rPr>
          <w:rFonts w:ascii="Arial" w:cs="Arial" w:eastAsia="Arial" w:hAnsi="Arial"/>
          <w:b/>
          <w:bCs/>
          <w:sz w:val="28"/>
          <w:szCs w:val="28"/>
        </w:rPr>
        <w:t xml:space="preserve">ADR-006 — Pattern SCD2 pour la table benefit_rules</w:t>
      </w:r>
    </w:p>
    <w:p>
      <w:pPr>
        <w:spacing w:after="60"/>
      </w:pPr>
      <w:r>
        <w:rPr>
          <w:rFonts w:ascii="Arial" w:cs="Arial" w:eastAsia="Arial" w:hAnsi="Arial"/>
          <w:b/>
          <w:bCs/>
          <w:sz w:val="22"/>
          <w:szCs w:val="22"/>
        </w:rPr>
        <w:t xml:space="preserve">Contexte :</w:t>
      </w:r>
    </w:p>
    <w:p>
      <w:pPr>
        <w:spacing w:after="160"/>
      </w:pPr>
      <w:r>
        <w:rPr>
          <w:rFonts w:ascii="Arial" w:cs="Arial" w:eastAsia="Arial" w:hAnsi="Arial"/>
          <w:sz w:val="22"/>
          <w:szCs w:val="22"/>
        </w:rPr>
        <w:t xml:space="preserve">Les règles métier (taux de prime, seuils de distance) changent dans le temps. Juliette a explicitement demandé la possibilité de relancer les calculs historiques — ce qui nécessite de connaître quelle règle était active à toute date passée.</w:t>
      </w:r>
    </w:p>
    <w:p>
      <w:pPr>
        <w:spacing w:after="60"/>
      </w:pPr>
      <w:r>
        <w:rPr>
          <w:rFonts w:ascii="Arial" w:cs="Arial" w:eastAsia="Arial" w:hAnsi="Arial"/>
          <w:b/>
          <w:bCs/>
          <w:sz w:val="22"/>
          <w:szCs w:val="22"/>
        </w:rPr>
        <w:t xml:space="preserve">Décision :</w:t>
      </w:r>
    </w:p>
    <w:p>
      <w:pPr>
        <w:spacing w:after="160"/>
      </w:pPr>
      <w:r>
        <w:rPr>
          <w:rFonts w:ascii="Arial" w:cs="Arial" w:eastAsia="Arial" w:hAnsi="Arial"/>
          <w:sz w:val="22"/>
          <w:szCs w:val="22"/>
        </w:rPr>
        <w:t xml:space="preserve">Slowly Changing Dimension Type 2 (SCD2) : ne jamais faire d'UPDATE sur benefit_rules, toujours INSERT une nouvelle ligne avec un nouveau ru_effective_date.</w:t>
      </w:r>
    </w:p>
    <w:p>
      <w:pPr>
        <w:spacing w:after="60"/>
      </w:pPr>
      <w:r>
        <w:rPr>
          <w:rFonts w:ascii="Arial" w:cs="Arial" w:eastAsia="Arial" w:hAnsi="Arial"/>
          <w:b/>
          <w:bCs/>
          <w:sz w:val="22"/>
          <w:szCs w:val="22"/>
        </w:rPr>
        <w:t xml:space="preserve">Conséquences :</w:t>
      </w:r>
    </w:p>
    <w:p>
      <w:pPr>
        <w:spacing w:after="40"/>
      </w:pPr>
      <w:r>
        <w:rPr>
          <w:rFonts w:ascii="Arial" w:cs="Arial" w:eastAsia="Arial" w:hAnsi="Arial"/>
          <w:sz w:val="22"/>
          <w:szCs w:val="22"/>
        </w:rPr>
        <w:t xml:space="preserve">  •  Piste d'audit complète de tous les changements de règles</w:t>
      </w:r>
    </w:p>
    <w:p>
      <w:pPr>
        <w:spacing w:after="40"/>
      </w:pPr>
      <w:r>
        <w:rPr>
          <w:rFonts w:ascii="Arial" w:cs="Arial" w:eastAsia="Arial" w:hAnsi="Arial"/>
          <w:sz w:val="22"/>
          <w:szCs w:val="22"/>
        </w:rPr>
        <w:t xml:space="preserve">  •  Les recalculs historiques produisent toujours des résultats corrects</w:t>
      </w:r>
    </w:p>
    <w:p>
      <w:pPr>
        <w:spacing w:after="40"/>
      </w:pPr>
      <w:r>
        <w:rPr>
          <w:rFonts w:ascii="Arial" w:cs="Arial" w:eastAsia="Arial" w:hAnsi="Arial"/>
          <w:sz w:val="22"/>
          <w:szCs w:val="22"/>
        </w:rPr>
        <w:t xml:space="preserve">  •  Le dashboard peut rejouer n'importe quelle période avec les bons paramètres</w:t>
      </w:r>
    </w:p>
    <w:p>
      <w:pPr>
        <w:spacing w:after="40"/>
      </w:pPr>
      <w:r>
        <w:rPr>
          <w:rFonts w:ascii="Arial" w:cs="Arial" w:eastAsia="Arial" w:hAnsi="Arial"/>
          <w:sz w:val="22"/>
          <w:szCs w:val="22"/>
        </w:rPr>
        <w:t xml:space="preserve">  •  Les requêtes nécessitent ORDER BY ru_effective_date DESC LIMIT 1 pour obtenir la règle courante</w:t>
      </w:r>
    </w:p>
    <w:p>
      <w:pPr>
        <w:spacing w:after="40"/>
      </w:pPr>
      <w:r>
        <w:rPr>
          <w:rFonts w:ascii="Arial" w:cs="Arial" w:eastAsia="Arial" w:hAnsi="Arial"/>
          <w:sz w:val="22"/>
          <w:szCs w:val="22"/>
        </w:rPr>
        <w:t xml:space="preserve">  •  UPDATE uniquement acceptable pour les erreurs de saisie (pas les changements métier)</w:t>
      </w:r>
    </w:p>
    <w:p>
      <w:pPr>
        <w:pStyle w:val="Heading1"/>
        <w:spacing w:before="400" w:after="200"/>
      </w:pPr>
      <w:r>
        <w:rPr>
          <w:rFonts w:ascii="Arial" w:cs="Arial" w:eastAsia="Arial" w:hAnsi="Arial"/>
          <w:b/>
          <w:bCs/>
          <w:sz w:val="28"/>
          <w:szCs w:val="28"/>
        </w:rPr>
        <w:t xml:space="preserve">ADR-007 — Base de données dédiée par application</w:t>
      </w:r>
    </w:p>
    <w:p>
      <w:pPr>
        <w:spacing w:after="60"/>
      </w:pPr>
      <w:r>
        <w:rPr>
          <w:rFonts w:ascii="Arial" w:cs="Arial" w:eastAsia="Arial" w:hAnsi="Arial"/>
          <w:b/>
          <w:bCs/>
          <w:sz w:val="22"/>
          <w:szCs w:val="22"/>
        </w:rPr>
        <w:t xml:space="preserve">Contexte :</w:t>
      </w:r>
    </w:p>
    <w:p>
      <w:pPr>
        <w:spacing w:after="160"/>
      </w:pPr>
      <w:r>
        <w:rPr>
          <w:rFonts w:ascii="Arial" w:cs="Arial" w:eastAsia="Arial" w:hAnsi="Arial"/>
          <w:sz w:val="22"/>
          <w:szCs w:val="22"/>
        </w:rPr>
        <w:t xml:space="preserve">Kestra et Metabase utilisent tous deux Flyway/Liquibase pour gérer leur schéma interne. Le setup initial utilisait une base sportdb partagée, ce qui a causé des conflits de schéma et des migrations échouées.</w:t>
      </w:r>
    </w:p>
    <w:p>
      <w:pPr>
        <w:spacing w:after="60"/>
      </w:pPr>
      <w:r>
        <w:rPr>
          <w:rFonts w:ascii="Arial" w:cs="Arial" w:eastAsia="Arial" w:hAnsi="Arial"/>
          <w:b/>
          <w:bCs/>
          <w:sz w:val="22"/>
          <w:szCs w:val="22"/>
        </w:rPr>
        <w:t xml:space="preserve">Décision :</w:t>
      </w:r>
    </w:p>
    <w:p>
      <w:pPr>
        <w:spacing w:after="160"/>
      </w:pPr>
      <w:r>
        <w:rPr>
          <w:rFonts w:ascii="Arial" w:cs="Arial" w:eastAsia="Arial" w:hAnsi="Arial"/>
          <w:sz w:val="22"/>
          <w:szCs w:val="22"/>
        </w:rPr>
        <w:t xml:space="preserve">Trois bases séparées sur la même instance PostgreSQL : sportdb (données ETL, 4 tables), kestradb (état interne Kestra), metabasedb (état interne Metabase).</w:t>
      </w:r>
    </w:p>
    <w:p>
      <w:pPr>
        <w:spacing w:after="60"/>
      </w:pPr>
      <w:r>
        <w:rPr>
          <w:rFonts w:ascii="Arial" w:cs="Arial" w:eastAsia="Arial" w:hAnsi="Arial"/>
          <w:b/>
          <w:bCs/>
          <w:sz w:val="22"/>
          <w:szCs w:val="22"/>
        </w:rPr>
        <w:t xml:space="preserve">Conséquences :</w:t>
      </w:r>
    </w:p>
    <w:p>
      <w:pPr>
        <w:spacing w:after="40"/>
      </w:pPr>
      <w:r>
        <w:rPr>
          <w:rFonts w:ascii="Arial" w:cs="Arial" w:eastAsia="Arial" w:hAnsi="Arial"/>
          <w:sz w:val="22"/>
          <w:szCs w:val="22"/>
        </w:rPr>
        <w:t xml:space="preserve">  •  Isolation complète : la migration d'une application ne peut affecter une autre</w:t>
      </w:r>
    </w:p>
    <w:p>
      <w:pPr>
        <w:spacing w:after="40"/>
      </w:pPr>
      <w:r>
        <w:rPr>
          <w:rFonts w:ascii="Arial" w:cs="Arial" w:eastAsia="Arial" w:hAnsi="Arial"/>
          <w:sz w:val="22"/>
          <w:szCs w:val="22"/>
        </w:rPr>
        <w:t xml:space="preserve">  •  Propriété claire : chaque application possède entièrement sa base</w:t>
      </w:r>
    </w:p>
    <w:p>
      <w:pPr>
        <w:spacing w:after="40"/>
      </w:pPr>
      <w:r>
        <w:rPr>
          <w:rFonts w:ascii="Arial" w:cs="Arial" w:eastAsia="Arial" w:hAnsi="Arial"/>
          <w:sz w:val="22"/>
          <w:szCs w:val="22"/>
        </w:rPr>
        <w:t xml:space="preserve">  •  Permissions simplifiées : chaque utilisateur d'application ne possède que sa base</w:t>
      </w:r>
    </w:p>
    <w:p>
      <w:pPr>
        <w:spacing w:after="40"/>
      </w:pPr>
      <w:r>
        <w:rPr>
          <w:rFonts w:ascii="Arial" w:cs="Arial" w:eastAsia="Arial" w:hAnsi="Arial"/>
          <w:sz w:val="22"/>
          <w:szCs w:val="22"/>
        </w:rPr>
        <w:t xml:space="preserve">  •  Une seule instance PostgreSQL : pas de coût d'infrastructure supplémentaire</w:t>
      </w:r>
    </w:p>
    <w:p>
      <w:pPr>
        <w:pStyle w:val="Heading1"/>
        <w:spacing w:before="400" w:after="200"/>
      </w:pPr>
      <w:r>
        <w:rPr>
          <w:rFonts w:ascii="Arial" w:cs="Arial" w:eastAsia="Arial" w:hAnsi="Arial"/>
          <w:b/>
          <w:bCs/>
          <w:sz w:val="28"/>
          <w:szCs w:val="28"/>
        </w:rPr>
        <w:t xml:space="preserve">ADR-008 — Variable KESTRA_CONFIGURATION pour la config</w:t>
      </w:r>
    </w:p>
    <w:p>
      <w:pPr>
        <w:spacing w:after="60"/>
      </w:pPr>
      <w:r>
        <w:rPr>
          <w:rFonts w:ascii="Arial" w:cs="Arial" w:eastAsia="Arial" w:hAnsi="Arial"/>
          <w:b/>
          <w:bCs/>
          <w:sz w:val="22"/>
          <w:szCs w:val="22"/>
        </w:rPr>
        <w:t xml:space="preserve">Contexte :</w:t>
      </w:r>
    </w:p>
    <w:p>
      <w:pPr>
        <w:spacing w:after="160"/>
      </w:pPr>
      <w:r>
        <w:rPr>
          <w:rFonts w:ascii="Arial" w:cs="Arial" w:eastAsia="Arial" w:hAnsi="Arial"/>
          <w:sz w:val="22"/>
          <w:szCs w:val="22"/>
        </w:rPr>
        <w:t xml:space="preserve">Kestra utilise le framework Micronaut qui mappe les variables d'environnement en config via la conversion UPPER_SNAKE_CASE → lower.dot.case. Cela met en minuscules toutes les valeurs, rendant impossible l'expression de clés camelCase (ex : basePath). Une approche par fichier YAML monté a échoué car Docker n'étend pas les placeholders ${VAR} dans les fichiers montés.</w:t>
      </w:r>
    </w:p>
    <w:p>
      <w:pPr>
        <w:spacing w:after="60"/>
      </w:pPr>
      <w:r>
        <w:rPr>
          <w:rFonts w:ascii="Arial" w:cs="Arial" w:eastAsia="Arial" w:hAnsi="Arial"/>
          <w:b/>
          <w:bCs/>
          <w:sz w:val="22"/>
          <w:szCs w:val="22"/>
        </w:rPr>
        <w:t xml:space="preserve">Décision :</w:t>
      </w:r>
    </w:p>
    <w:p>
      <w:pPr>
        <w:spacing w:after="160"/>
      </w:pPr>
      <w:r>
        <w:rPr>
          <w:rFonts w:ascii="Arial" w:cs="Arial" w:eastAsia="Arial" w:hAnsi="Arial"/>
          <w:sz w:val="22"/>
          <w:szCs w:val="22"/>
        </w:rPr>
        <w:t xml:space="preserve">Utiliser la variable KESTRA_CONFIGURATION qui accepte un bloc YAML brut, contournant entièrement le mapping des variables Micronaut.</w:t>
      </w:r>
    </w:p>
    <w:p>
      <w:pPr>
        <w:spacing w:after="60"/>
      </w:pPr>
      <w:r>
        <w:rPr>
          <w:rFonts w:ascii="Arial" w:cs="Arial" w:eastAsia="Arial" w:hAnsi="Arial"/>
          <w:b/>
          <w:bCs/>
          <w:sz w:val="22"/>
          <w:szCs w:val="22"/>
        </w:rPr>
        <w:t xml:space="preserve">Conséquences :</w:t>
      </w:r>
    </w:p>
    <w:p>
      <w:pPr>
        <w:spacing w:after="40"/>
      </w:pPr>
      <w:r>
        <w:rPr>
          <w:rFonts w:ascii="Arial" w:cs="Arial" w:eastAsia="Arial" w:hAnsi="Arial"/>
          <w:sz w:val="22"/>
          <w:szCs w:val="22"/>
        </w:rPr>
        <w:t xml:space="preserve">  •  Les clés de config camelCase fonctionnent correctement</w:t>
      </w:r>
    </w:p>
    <w:p>
      <w:pPr>
        <w:spacing w:after="40"/>
      </w:pPr>
      <w:r>
        <w:rPr>
          <w:rFonts w:ascii="Arial" w:cs="Arial" w:eastAsia="Arial" w:hAnsi="Arial"/>
          <w:sz w:val="22"/>
          <w:szCs w:val="22"/>
        </w:rPr>
        <w:t xml:space="preserve">  •  Pas de fichier de config monté : moins de pièces mobiles</w:t>
      </w:r>
    </w:p>
    <w:p>
      <w:pPr>
        <w:spacing w:after="40"/>
      </w:pPr>
      <w:r>
        <w:rPr>
          <w:rFonts w:ascii="Arial" w:cs="Arial" w:eastAsia="Arial" w:hAnsi="Arial"/>
          <w:sz w:val="22"/>
          <w:szCs w:val="22"/>
        </w:rPr>
        <w:t xml:space="preserve">  •  Le bloc YAML doit être maintenu dans docker-compose.yml</w:t>
      </w:r>
    </w:p>
    <w:p>
      <w:pPr>
        <w:pStyle w:val="Heading1"/>
        <w:spacing w:before="400" w:after="200"/>
      </w:pPr>
      <w:r>
        <w:rPr>
          <w:rFonts w:ascii="Arial" w:cs="Arial" w:eastAsia="Arial" w:hAnsi="Arial"/>
          <w:b/>
          <w:bCs/>
          <w:sz w:val="28"/>
          <w:szCs w:val="28"/>
        </w:rPr>
        <w:t xml:space="preserve">ADR-009 — Google Maps API pour la validation des adresses</w:t>
      </w:r>
    </w:p>
    <w:p>
      <w:pPr>
        <w:spacing w:after="60"/>
      </w:pPr>
      <w:r>
        <w:rPr>
          <w:rFonts w:ascii="Arial" w:cs="Arial" w:eastAsia="Arial" w:hAnsi="Arial"/>
          <w:b/>
          <w:bCs/>
          <w:sz w:val="22"/>
          <w:szCs w:val="22"/>
        </w:rPr>
        <w:t xml:space="preserve">Contexte :</w:t>
      </w:r>
    </w:p>
    <w:p>
      <w:pPr>
        <w:spacing w:after="160"/>
      </w:pPr>
      <w:r>
        <w:rPr>
          <w:rFonts w:ascii="Arial" w:cs="Arial" w:eastAsia="Arial" w:hAnsi="Arial"/>
          <w:sz w:val="22"/>
          <w:szCs w:val="22"/>
        </w:rPr>
        <w:t xml:space="preserve">L'EDA a révélé 17/161 adresses (10,6%) avec des anomalies : numéros de rue manquants, codes postaux manquants, séparateurs virgule manquants. Une logique de parsing personnalisée nécessiterait la gestion de nombreux cas particuliers. L'API Google Maps retourne des composants d'adresse validés et normalisés.</w:t>
      </w:r>
    </w:p>
    <w:p>
      <w:pPr>
        <w:spacing w:after="60"/>
      </w:pPr>
      <w:r>
        <w:rPr>
          <w:rFonts w:ascii="Arial" w:cs="Arial" w:eastAsia="Arial" w:hAnsi="Arial"/>
          <w:b/>
          <w:bCs/>
          <w:sz w:val="22"/>
          <w:szCs w:val="22"/>
        </w:rPr>
        <w:t xml:space="preserve">Décision :</w:t>
      </w:r>
    </w:p>
    <w:p>
      <w:pPr>
        <w:spacing w:after="160"/>
      </w:pPr>
      <w:r>
        <w:rPr>
          <w:rFonts w:ascii="Arial" w:cs="Arial" w:eastAsia="Arial" w:hAnsi="Arial"/>
          <w:sz w:val="22"/>
          <w:szCs w:val="22"/>
        </w:rPr>
        <w:t xml:space="preserve">Envoyer l'adresse brute à l'API Google Maps. Utiliser la réponse pour : extraire les composants validés (numéro, rue, code postal, ville), calculer la distance domicile-entreprise (1362 Av. des Platanes, 34970 Lattes), signaler les adresses non résolvables.</w:t>
      </w:r>
    </w:p>
    <w:p>
      <w:pPr>
        <w:spacing w:after="60"/>
      </w:pPr>
      <w:r>
        <w:rPr>
          <w:rFonts w:ascii="Arial" w:cs="Arial" w:eastAsia="Arial" w:hAnsi="Arial"/>
          <w:b/>
          <w:bCs/>
          <w:sz w:val="22"/>
          <w:szCs w:val="22"/>
        </w:rPr>
        <w:t xml:space="preserve">Conséquences :</w:t>
      </w:r>
    </w:p>
    <w:p>
      <w:pPr>
        <w:spacing w:after="40"/>
      </w:pPr>
      <w:r>
        <w:rPr>
          <w:rFonts w:ascii="Arial" w:cs="Arial" w:eastAsia="Arial" w:hAnsi="Arial"/>
          <w:sz w:val="22"/>
          <w:szCs w:val="22"/>
        </w:rPr>
        <w:t xml:space="preserve">  •  Aucune logique de parsing d'adresse personnalisée nécessaire</w:t>
      </w:r>
    </w:p>
    <w:p>
      <w:pPr>
        <w:spacing w:after="40"/>
      </w:pPr>
      <w:r>
        <w:rPr>
          <w:rFonts w:ascii="Arial" w:cs="Arial" w:eastAsia="Arial" w:hAnsi="Arial"/>
          <w:sz w:val="22"/>
          <w:szCs w:val="22"/>
        </w:rPr>
        <w:t xml:space="preserve">  •  Google normalise la capitalisation, les abréviations, les composants manquants</w:t>
      </w:r>
    </w:p>
    <w:p>
      <w:pPr>
        <w:spacing w:after="40"/>
      </w:pPr>
      <w:r>
        <w:rPr>
          <w:rFonts w:ascii="Arial" w:cs="Arial" w:eastAsia="Arial" w:hAnsi="Arial"/>
          <w:sz w:val="22"/>
          <w:szCs w:val="22"/>
        </w:rPr>
        <w:t xml:space="preserve">  •  Calcul de distance et découpage d'adresse en un seul appel API</w:t>
      </w:r>
    </w:p>
    <w:p>
      <w:pPr>
        <w:spacing w:after="40"/>
      </w:pPr>
      <w:r>
        <w:rPr>
          <w:rFonts w:ascii="Arial" w:cs="Arial" w:eastAsia="Arial" w:hAnsi="Arial"/>
          <w:sz w:val="22"/>
          <w:szCs w:val="22"/>
        </w:rPr>
        <w:t xml:space="preserve">  •  Dépendance API externe : le pipeline échoue si l'API est indisponible</w:t>
      </w:r>
    </w:p>
    <w:p>
      <w:pPr>
        <w:spacing w:after="40"/>
      </w:pPr>
      <w:r>
        <w:rPr>
          <w:rFonts w:ascii="Arial" w:cs="Arial" w:eastAsia="Arial" w:hAnsi="Arial"/>
          <w:sz w:val="22"/>
          <w:szCs w:val="22"/>
        </w:rPr>
        <w:t xml:space="preserve">  •  Coût API : facturé par requête (tier gratuit suffisant pour le POC)</w:t>
      </w:r>
    </w:p>
    <w:p>
      <w:pPr>
        <w:pStyle w:val="Heading1"/>
        <w:spacing w:before="400" w:after="200"/>
      </w:pPr>
      <w:r>
        <w:rPr>
          <w:rFonts w:ascii="Arial" w:cs="Arial" w:eastAsia="Arial" w:hAnsi="Arial"/>
          <w:b/>
          <w:bCs/>
          <w:sz w:val="28"/>
          <w:szCs w:val="28"/>
        </w:rPr>
        <w:t xml:space="preserve">ADR-010 — Poetry pour la gestion des dépendances Python</w:t>
      </w:r>
    </w:p>
    <w:p>
      <w:pPr>
        <w:spacing w:after="60"/>
      </w:pPr>
      <w:r>
        <w:rPr>
          <w:rFonts w:ascii="Arial" w:cs="Arial" w:eastAsia="Arial" w:hAnsi="Arial"/>
          <w:b/>
          <w:bCs/>
          <w:sz w:val="22"/>
          <w:szCs w:val="22"/>
        </w:rPr>
        <w:t xml:space="preserve">Contexte :</w:t>
      </w:r>
    </w:p>
    <w:p>
      <w:pPr>
        <w:spacing w:after="160"/>
      </w:pPr>
      <w:r>
        <w:rPr>
          <w:rFonts w:ascii="Arial" w:cs="Arial" w:eastAsia="Arial" w:hAnsi="Arial"/>
          <w:sz w:val="22"/>
          <w:szCs w:val="22"/>
        </w:rPr>
        <w:t xml:space="preserve">Le projet Python nécessite une gestion des dépendances avec une séparation claire entre dépendances de production et de développement.</w:t>
      </w:r>
    </w:p>
    <w:p>
      <w:pPr>
        <w:spacing w:after="60"/>
      </w:pPr>
      <w:r>
        <w:rPr>
          <w:rFonts w:ascii="Arial" w:cs="Arial" w:eastAsia="Arial" w:hAnsi="Arial"/>
          <w:b/>
          <w:bCs/>
          <w:sz w:val="22"/>
          <w:szCs w:val="22"/>
        </w:rPr>
        <w:t xml:space="preserve">Décision :</w:t>
      </w:r>
    </w:p>
    <w:p>
      <w:pPr>
        <w:spacing w:after="160"/>
      </w:pPr>
      <w:r>
        <w:rPr>
          <w:rFonts w:ascii="Arial" w:cs="Arial" w:eastAsia="Arial" w:hAnsi="Arial"/>
          <w:sz w:val="22"/>
          <w:szCs w:val="22"/>
        </w:rPr>
        <w:t xml:space="preserve">Poetry avec pyproject.toml. Groupes : main (pandas, pydantic, sqlalchemy...) et dev (jupyter, pytest).</w:t>
      </w:r>
    </w:p>
    <w:p>
      <w:pPr>
        <w:spacing w:after="60"/>
      </w:pPr>
      <w:r>
        <w:rPr>
          <w:rFonts w:ascii="Arial" w:cs="Arial" w:eastAsia="Arial" w:hAnsi="Arial"/>
          <w:b/>
          <w:bCs/>
          <w:sz w:val="22"/>
          <w:szCs w:val="22"/>
        </w:rPr>
        <w:t xml:space="preserve">Conséquences :</w:t>
      </w:r>
    </w:p>
    <w:p>
      <w:pPr>
        <w:spacing w:after="40"/>
      </w:pPr>
      <w:r>
        <w:rPr>
          <w:rFonts w:ascii="Arial" w:cs="Arial" w:eastAsia="Arial" w:hAnsi="Arial"/>
          <w:sz w:val="22"/>
          <w:szCs w:val="22"/>
        </w:rPr>
        <w:t xml:space="preserve">  •  pyproject.toml : source unique de vérité pour les dépendances</w:t>
      </w:r>
    </w:p>
    <w:p>
      <w:pPr>
        <w:spacing w:after="40"/>
      </w:pPr>
      <w:r>
        <w:rPr>
          <w:rFonts w:ascii="Arial" w:cs="Arial" w:eastAsia="Arial" w:hAnsi="Arial"/>
          <w:sz w:val="22"/>
          <w:szCs w:val="22"/>
        </w:rPr>
        <w:t xml:space="preserve">  •  poetry.lock : installations reproductibles entre environnements</w:t>
      </w:r>
    </w:p>
    <w:p>
      <w:pPr>
        <w:spacing w:after="40"/>
      </w:pPr>
      <w:r>
        <w:rPr>
          <w:rFonts w:ascii="Arial" w:cs="Arial" w:eastAsia="Arial" w:hAnsi="Arial"/>
          <w:sz w:val="22"/>
          <w:szCs w:val="22"/>
        </w:rPr>
        <w:t xml:space="preserve">  •  Séparation des groupes : les dépendances dev (jupyter) jamais installées en production</w:t>
      </w:r>
    </w:p>
    <w:p>
      <w:pPr>
        <w:pStyle w:val="Heading1"/>
        <w:spacing w:before="400" w:after="200"/>
      </w:pPr>
      <w:r>
        <w:rPr>
          <w:rFonts w:ascii="Arial" w:cs="Arial" w:eastAsia="Arial" w:hAnsi="Arial"/>
          <w:b/>
          <w:bCs/>
          <w:sz w:val="28"/>
          <w:szCs w:val="28"/>
        </w:rPr>
        <w:t xml:space="preserve">ADR-011 — Migrations SQL versionnées (convention Flyway)</w:t>
      </w:r>
    </w:p>
    <w:p>
      <w:pPr>
        <w:spacing w:after="60"/>
      </w:pPr>
      <w:r>
        <w:rPr>
          <w:rFonts w:ascii="Arial" w:cs="Arial" w:eastAsia="Arial" w:hAnsi="Arial"/>
          <w:b/>
          <w:bCs/>
          <w:sz w:val="22"/>
          <w:szCs w:val="22"/>
        </w:rPr>
        <w:t xml:space="preserve">Contexte :</w:t>
      </w:r>
    </w:p>
    <w:p>
      <w:pPr>
        <w:spacing w:after="160"/>
      </w:pPr>
      <w:r>
        <w:rPr>
          <w:rFonts w:ascii="Arial" w:cs="Arial" w:eastAsia="Arial" w:hAnsi="Arial"/>
          <w:sz w:val="22"/>
          <w:szCs w:val="22"/>
        </w:rPr>
        <w:t xml:space="preserve">Le schéma de base de données évolue pendant le développement. Les changements doivent être traçables, reproductibles, et non destructifs.</w:t>
      </w:r>
    </w:p>
    <w:p>
      <w:pPr>
        <w:spacing w:after="60"/>
      </w:pPr>
      <w:r>
        <w:rPr>
          <w:rFonts w:ascii="Arial" w:cs="Arial" w:eastAsia="Arial" w:hAnsi="Arial"/>
          <w:b/>
          <w:bCs/>
          <w:sz w:val="22"/>
          <w:szCs w:val="22"/>
        </w:rPr>
        <w:t xml:space="preserve">Décision :</w:t>
      </w:r>
    </w:p>
    <w:p>
      <w:pPr>
        <w:spacing w:after="160"/>
      </w:pPr>
      <w:r>
        <w:rPr>
          <w:rFonts w:ascii="Arial" w:cs="Arial" w:eastAsia="Arial" w:hAnsi="Arial"/>
          <w:sz w:val="22"/>
          <w:szCs w:val="22"/>
        </w:rPr>
        <w:t xml:space="preserve">Fichiers SQL dans migrations/ suivant le nommage Flyway : V{n}__{description}.sql. Chaque migration encapsulée dans une transaction BEGIN/COMMIT.</w:t>
      </w:r>
    </w:p>
    <w:p>
      <w:pPr>
        <w:spacing w:after="60"/>
      </w:pPr>
      <w:r>
        <w:rPr>
          <w:rFonts w:ascii="Arial" w:cs="Arial" w:eastAsia="Arial" w:hAnsi="Arial"/>
          <w:b/>
          <w:bCs/>
          <w:sz w:val="22"/>
          <w:szCs w:val="22"/>
        </w:rPr>
        <w:t xml:space="preserve">Conséquences :</w:t>
      </w:r>
    </w:p>
    <w:p>
      <w:pPr>
        <w:spacing w:after="40"/>
      </w:pPr>
      <w:r>
        <w:rPr>
          <w:rFonts w:ascii="Arial" w:cs="Arial" w:eastAsia="Arial" w:hAnsi="Arial"/>
          <w:sz w:val="22"/>
          <w:szCs w:val="22"/>
        </w:rPr>
        <w:t xml:space="preserve">  •  Historique de version de chaque changement de schéma</w:t>
      </w:r>
    </w:p>
    <w:p>
      <w:pPr>
        <w:spacing w:after="40"/>
      </w:pPr>
      <w:r>
        <w:rPr>
          <w:rFonts w:ascii="Arial" w:cs="Arial" w:eastAsia="Arial" w:hAnsi="Arial"/>
          <w:sz w:val="22"/>
          <w:szCs w:val="22"/>
        </w:rPr>
        <w:t xml:space="preserve">  •  Reproductible : mêmes migrations sur dev et prod produisent un schéma identique</w:t>
      </w:r>
    </w:p>
    <w:p>
      <w:pPr>
        <w:spacing w:after="40"/>
      </w:pPr>
      <w:r>
        <w:rPr>
          <w:rFonts w:ascii="Arial" w:cs="Arial" w:eastAsia="Arial" w:hAnsi="Arial"/>
          <w:sz w:val="22"/>
          <w:szCs w:val="22"/>
        </w:rPr>
        <w:t xml:space="preserve">  •  Atomique : le wrapper transaction empêche les migrations partielles</w:t>
      </w:r>
    </w:p>
    <w:p>
      <w:pPr>
        <w:spacing w:after="40"/>
      </w:pPr>
      <w:r>
        <w:rPr>
          <w:rFonts w:ascii="Arial" w:cs="Arial" w:eastAsia="Arial" w:hAnsi="Arial"/>
          <w:sz w:val="22"/>
          <w:szCs w:val="22"/>
        </w:rPr>
        <w:t xml:space="preserve">  •  Ne jamais modifier un fichier de migration déployé : toujours créer une nouvelle version</w:t>
      </w:r>
    </w:p>
    <w:p>
      <w:pPr>
        <w:pStyle w:val="Heading1"/>
        <w:spacing w:before="400" w:after="200"/>
      </w:pPr>
      <w:r>
        <w:rPr>
          <w:rFonts w:ascii="Arial" w:cs="Arial" w:eastAsia="Arial" w:hAnsi="Arial"/>
          <w:b/>
          <w:bCs/>
          <w:sz w:val="28"/>
          <w:szCs w:val="28"/>
        </w:rPr>
        <w:t xml:space="preserve">ADR-012 — Docker Compose pour l'infrastructure locale</w:t>
      </w:r>
    </w:p>
    <w:p>
      <w:pPr>
        <w:spacing w:after="60"/>
      </w:pPr>
      <w:r>
        <w:rPr>
          <w:rFonts w:ascii="Arial" w:cs="Arial" w:eastAsia="Arial" w:hAnsi="Arial"/>
          <w:b/>
          <w:bCs/>
          <w:sz w:val="22"/>
          <w:szCs w:val="22"/>
        </w:rPr>
        <w:t xml:space="preserve">Contexte :</w:t>
      </w:r>
    </w:p>
    <w:p>
      <w:pPr>
        <w:spacing w:after="160"/>
      </w:pPr>
      <w:r>
        <w:rPr>
          <w:rFonts w:ascii="Arial" w:cs="Arial" w:eastAsia="Arial" w:hAnsi="Arial"/>
          <w:sz w:val="22"/>
          <w:szCs w:val="22"/>
        </w:rPr>
        <w:t xml:space="preserve">Le POC nécessite 5 services (PostgreSQL, Redpanda, Redpanda Console, Kestra, Metabase) fonctionnant localement avec un réseau correct, des health checks, et un ordonnancement de démarrage.</w:t>
      </w:r>
    </w:p>
    <w:p>
      <w:pPr>
        <w:spacing w:after="60"/>
      </w:pPr>
      <w:r>
        <w:rPr>
          <w:rFonts w:ascii="Arial" w:cs="Arial" w:eastAsia="Arial" w:hAnsi="Arial"/>
          <w:b/>
          <w:bCs/>
          <w:sz w:val="22"/>
          <w:szCs w:val="22"/>
        </w:rPr>
        <w:t xml:space="preserve">Décision :</w:t>
      </w:r>
    </w:p>
    <w:p>
      <w:pPr>
        <w:spacing w:after="160"/>
      </w:pPr>
      <w:r>
        <w:rPr>
          <w:rFonts w:ascii="Arial" w:cs="Arial" w:eastAsia="Arial" w:hAnsi="Arial"/>
          <w:sz w:val="22"/>
          <w:szCs w:val="22"/>
        </w:rPr>
        <w:t xml:space="preserve">Docker Compose avec tous les services fixés à des versions spécifiques. Fichier .env pour tous les credentials et ports. Services utilisant condition: service_healthy.</w:t>
      </w:r>
    </w:p>
    <w:p>
      <w:pPr>
        <w:spacing w:after="60"/>
      </w:pPr>
      <w:r>
        <w:rPr>
          <w:rFonts w:ascii="Arial" w:cs="Arial" w:eastAsia="Arial" w:hAnsi="Arial"/>
          <w:b/>
          <w:bCs/>
          <w:sz w:val="22"/>
          <w:szCs w:val="22"/>
        </w:rPr>
        <w:t xml:space="preserve">Conséquences :</w:t>
      </w:r>
    </w:p>
    <w:p>
      <w:pPr>
        <w:spacing w:after="40"/>
      </w:pPr>
      <w:r>
        <w:rPr>
          <w:rFonts w:ascii="Arial" w:cs="Arial" w:eastAsia="Arial" w:hAnsi="Arial"/>
          <w:sz w:val="22"/>
          <w:szCs w:val="22"/>
        </w:rPr>
        <w:t xml:space="preserve">  •  Démarrage en une commande : docker-compose up -d</w:t>
      </w:r>
    </w:p>
    <w:p>
      <w:pPr>
        <w:spacing w:after="40"/>
      </w:pPr>
      <w:r>
        <w:rPr>
          <w:rFonts w:ascii="Arial" w:cs="Arial" w:eastAsia="Arial" w:hAnsi="Arial"/>
          <w:sz w:val="22"/>
          <w:szCs w:val="22"/>
        </w:rPr>
        <w:t xml:space="preserve">  •  Fixation des versions : environnement reproductible</w:t>
      </w:r>
    </w:p>
    <w:p>
      <w:pPr>
        <w:spacing w:after="40"/>
      </w:pPr>
      <w:r>
        <w:rPr>
          <w:rFonts w:ascii="Arial" w:cs="Arial" w:eastAsia="Arial" w:hAnsi="Arial"/>
          <w:sz w:val="22"/>
          <w:szCs w:val="22"/>
        </w:rPr>
        <w:t xml:space="preserve">  •  Health checks : les services démarrent uniquement quand les dépendances sont prêtes</w:t>
      </w:r>
    </w:p>
    <w:p>
      <w:pPr>
        <w:spacing w:after="40"/>
      </w:pPr>
      <w:r>
        <w:rPr>
          <w:rFonts w:ascii="Arial" w:cs="Arial" w:eastAsia="Arial" w:hAnsi="Arial"/>
          <w:sz w:val="22"/>
          <w:szCs w:val="22"/>
        </w:rPr>
        <w:t xml:space="preserve">  •  .env exclu de git : credentials jamais commités</w:t>
      </w:r>
    </w:p>
    <w:p>
      <w:pPr>
        <w:spacing w:after="40"/>
      </w:pPr>
      <w:r>
        <w:rPr>
          <w:rFonts w:ascii="Arial" w:cs="Arial" w:eastAsia="Arial" w:hAnsi="Arial"/>
          <w:sz w:val="22"/>
          <w:szCs w:val="22"/>
        </w:rPr>
        <w:t xml:space="preserve">  •  Mac ARM64 : Metabase nécessite platform: linux/amd64 (émulation Rosetta)</w:t>
      </w:r>
    </w:p>
    <w:p>
      <w:pPr>
        <w:pStyle w:val="Heading1"/>
        <w:spacing w:before="400" w:after="200"/>
      </w:pPr>
      <w:r>
        <w:rPr>
          <w:rFonts w:ascii="Arial" w:cs="Arial" w:eastAsia="Arial" w:hAnsi="Arial"/>
          <w:b/>
          <w:bCs/>
          <w:sz w:val="28"/>
          <w:szCs w:val="28"/>
        </w:rPr>
        <w:t xml:space="preserve">ADR-013 — confluent-kafka plutôt que kafka-python</w:t>
      </w:r>
    </w:p>
    <w:p>
      <w:pPr>
        <w:spacing w:after="60"/>
      </w:pPr>
      <w:r>
        <w:rPr>
          <w:rFonts w:ascii="Arial" w:cs="Arial" w:eastAsia="Arial" w:hAnsi="Arial"/>
          <w:b/>
          <w:bCs/>
          <w:sz w:val="22"/>
          <w:szCs w:val="22"/>
        </w:rPr>
        <w:t xml:space="preserve">Contexte :</w:t>
      </w:r>
    </w:p>
    <w:p>
      <w:pPr>
        <w:spacing w:after="160"/>
      </w:pPr>
      <w:r>
        <w:rPr>
          <w:rFonts w:ascii="Arial" w:cs="Arial" w:eastAsia="Arial" w:hAnsi="Arial"/>
          <w:sz w:val="22"/>
          <w:szCs w:val="22"/>
        </w:rPr>
        <w:t xml:space="preserve">Le premier client Kafka choisi (kafka-python) présentait des échecs silencieux lors de la consommation des messages Redpanda. Le consumer se connectait sans erreur mais ne recevait aucun message. Aucune exception n'était levée, rendant le debugging difficile.</w:t>
      </w:r>
    </w:p>
    <w:p>
      <w:pPr>
        <w:spacing w:after="60"/>
      </w:pPr>
      <w:r>
        <w:rPr>
          <w:rFonts w:ascii="Arial" w:cs="Arial" w:eastAsia="Arial" w:hAnsi="Arial"/>
          <w:b/>
          <w:bCs/>
          <w:sz w:val="22"/>
          <w:szCs w:val="22"/>
        </w:rPr>
        <w:t xml:space="preserve">Décision :</w:t>
      </w:r>
    </w:p>
    <w:p>
      <w:pPr>
        <w:spacing w:after="160"/>
      </w:pPr>
      <w:r>
        <w:rPr>
          <w:rFonts w:ascii="Arial" w:cs="Arial" w:eastAsia="Arial" w:hAnsi="Arial"/>
          <w:sz w:val="22"/>
          <w:szCs w:val="22"/>
        </w:rPr>
        <w:t xml:space="preserve">Remplacer kafka-python par confluent-kafka (wrapper Python de librdkafka, la bibliothèque C officielle de Kafka).</w:t>
      </w:r>
    </w:p>
    <w:p>
      <w:pPr>
        <w:spacing w:after="60"/>
      </w:pPr>
      <w:r>
        <w:rPr>
          <w:rFonts w:ascii="Arial" w:cs="Arial" w:eastAsia="Arial" w:hAnsi="Arial"/>
          <w:b/>
          <w:bCs/>
          <w:sz w:val="22"/>
          <w:szCs w:val="22"/>
        </w:rPr>
        <w:t xml:space="preserve">Conséquences :</w:t>
      </w:r>
    </w:p>
    <w:p>
      <w:pPr>
        <w:spacing w:after="40"/>
      </w:pPr>
      <w:r>
        <w:rPr>
          <w:rFonts w:ascii="Arial" w:cs="Arial" w:eastAsia="Arial" w:hAnsi="Arial"/>
          <w:sz w:val="22"/>
          <w:szCs w:val="22"/>
        </w:rPr>
        <w:t xml:space="preserve">  •  Consommation fiable : tous les messages sont reçus sans perte silencieuse</w:t>
      </w:r>
    </w:p>
    <w:p>
      <w:pPr>
        <w:spacing w:after="40"/>
      </w:pPr>
      <w:r>
        <w:rPr>
          <w:rFonts w:ascii="Arial" w:cs="Arial" w:eastAsia="Arial" w:hAnsi="Arial"/>
          <w:sz w:val="22"/>
          <w:szCs w:val="22"/>
        </w:rPr>
        <w:t xml:space="preserve">  •  Bibliothèque maintenue par Confluent (créateurs de Kafka)</w:t>
      </w:r>
    </w:p>
    <w:p>
      <w:pPr>
        <w:spacing w:after="40"/>
      </w:pPr>
      <w:r>
        <w:rPr>
          <w:rFonts w:ascii="Arial" w:cs="Arial" w:eastAsia="Arial" w:hAnsi="Arial"/>
          <w:sz w:val="22"/>
          <w:szCs w:val="22"/>
        </w:rPr>
        <w:t xml:space="preserve">  •  Performances supérieures (basé sur librdkafka en C)</w:t>
      </w:r>
    </w:p>
    <w:p>
      <w:pPr>
        <w:spacing w:after="40"/>
      </w:pPr>
      <w:r>
        <w:rPr>
          <w:rFonts w:ascii="Arial" w:cs="Arial" w:eastAsia="Arial" w:hAnsi="Arial"/>
          <w:sz w:val="22"/>
          <w:szCs w:val="22"/>
        </w:rPr>
        <w:t xml:space="preserve">  •  Dépendance native C : compilation nécessaire sur certaines plateformes</w:t>
      </w:r>
    </w:p>
    <w:p>
      <w:pPr>
        <w:pStyle w:val="Heading1"/>
        <w:spacing w:before="400" w:after="200"/>
      </w:pPr>
      <w:r>
        <w:rPr>
          <w:rFonts w:ascii="Arial" w:cs="Arial" w:eastAsia="Arial" w:hAnsi="Arial"/>
          <w:b/>
          <w:bCs/>
          <w:sz w:val="28"/>
          <w:szCs w:val="28"/>
        </w:rPr>
        <w:t xml:space="preserve">ADR-014 — Soft delete plutôt que hard delete</w:t>
      </w:r>
    </w:p>
    <w:p>
      <w:pPr>
        <w:spacing w:after="60"/>
      </w:pPr>
      <w:r>
        <w:rPr>
          <w:rFonts w:ascii="Arial" w:cs="Arial" w:eastAsia="Arial" w:hAnsi="Arial"/>
          <w:b/>
          <w:bCs/>
          <w:sz w:val="22"/>
          <w:szCs w:val="22"/>
        </w:rPr>
        <w:t xml:space="preserve">Contexte :</w:t>
      </w:r>
    </w:p>
    <w:p>
      <w:pPr>
        <w:spacing w:after="160"/>
      </w:pPr>
      <w:r>
        <w:rPr>
          <w:rFonts w:ascii="Arial" w:cs="Arial" w:eastAsia="Arial" w:hAnsi="Arial"/>
          <w:sz w:val="22"/>
          <w:szCs w:val="22"/>
        </w:rPr>
        <w:t xml:space="preserve">Lorsqu'un employé quitte l'entreprise ou qu'une activité est annulée, la ligne doit être marquée comme inactive sans être physiquement supprimée. Les données historiques doivent rester disponibles pour l'audit.</w:t>
      </w:r>
    </w:p>
    <w:p>
      <w:pPr>
        <w:spacing w:after="60"/>
      </w:pPr>
      <w:r>
        <w:rPr>
          <w:rFonts w:ascii="Arial" w:cs="Arial" w:eastAsia="Arial" w:hAnsi="Arial"/>
          <w:b/>
          <w:bCs/>
          <w:sz w:val="22"/>
          <w:szCs w:val="22"/>
        </w:rPr>
        <w:t xml:space="preserve">Décision :</w:t>
      </w:r>
    </w:p>
    <w:p>
      <w:pPr>
        <w:spacing w:after="160"/>
      </w:pPr>
      <w:r>
        <w:rPr>
          <w:rFonts w:ascii="Arial" w:cs="Arial" w:eastAsia="Arial" w:hAnsi="Arial"/>
          <w:sz w:val="22"/>
          <w:szCs w:val="22"/>
        </w:rPr>
        <w:t xml:space="preserve">Colonnes booléennes rh_is_active (employees) et sp_is_active (sport_activities). Les requêtes filtrent avec WHERE is_active = TRUE.</w:t>
      </w:r>
    </w:p>
    <w:p>
      <w:pPr>
        <w:spacing w:after="60"/>
      </w:pPr>
      <w:r>
        <w:rPr>
          <w:rFonts w:ascii="Arial" w:cs="Arial" w:eastAsia="Arial" w:hAnsi="Arial"/>
          <w:b/>
          <w:bCs/>
          <w:sz w:val="22"/>
          <w:szCs w:val="22"/>
        </w:rPr>
        <w:t xml:space="preserve">Conséquences :</w:t>
      </w:r>
    </w:p>
    <w:p>
      <w:pPr>
        <w:spacing w:after="40"/>
      </w:pPr>
      <w:r>
        <w:rPr>
          <w:rFonts w:ascii="Arial" w:cs="Arial" w:eastAsia="Arial" w:hAnsi="Arial"/>
          <w:sz w:val="22"/>
          <w:szCs w:val="22"/>
        </w:rPr>
        <w:t xml:space="preserve">  •  Réversible : une suppression accidentelle peut être annulée</w:t>
      </w:r>
    </w:p>
    <w:p>
      <w:pPr>
        <w:spacing w:after="40"/>
      </w:pPr>
      <w:r>
        <w:rPr>
          <w:rFonts w:ascii="Arial" w:cs="Arial" w:eastAsia="Arial" w:hAnsi="Arial"/>
          <w:sz w:val="22"/>
          <w:szCs w:val="22"/>
        </w:rPr>
        <w:t xml:space="preserve">  •  Traçabilité : historique complet préservé pour l'audit</w:t>
      </w:r>
    </w:p>
    <w:p>
      <w:pPr>
        <w:spacing w:after="40"/>
      </w:pPr>
      <w:r>
        <w:rPr>
          <w:rFonts w:ascii="Arial" w:cs="Arial" w:eastAsia="Arial" w:hAnsi="Arial"/>
          <w:sz w:val="22"/>
          <w:szCs w:val="22"/>
        </w:rPr>
        <w:t xml:space="preserve">  •  Compatible avec les recalculs historiques (SCD2)</w:t>
      </w:r>
    </w:p>
    <w:p>
      <w:pPr>
        <w:spacing w:after="40"/>
      </w:pPr>
      <w:r>
        <w:rPr>
          <w:rFonts w:ascii="Arial" w:cs="Arial" w:eastAsia="Arial" w:hAnsi="Arial"/>
          <w:sz w:val="22"/>
          <w:szCs w:val="22"/>
        </w:rPr>
        <w:t xml:space="preserve">  •  Les requêtes doivent systématiquement filtrer sur is_active</w:t>
      </w:r>
    </w:p>
    <w:p>
      <w:pPr>
        <w:pStyle w:val="Heading1"/>
        <w:spacing w:before="400" w:after="200"/>
      </w:pPr>
      <w:r>
        <w:rPr>
          <w:rFonts w:ascii="Arial" w:cs="Arial" w:eastAsia="Arial" w:hAnsi="Arial"/>
          <w:b/>
          <w:bCs/>
          <w:sz w:val="28"/>
          <w:szCs w:val="28"/>
        </w:rPr>
        <w:t xml:space="preserve">ADR-015 — UPSERT pour des pipelines idempotents</w:t>
      </w:r>
    </w:p>
    <w:p>
      <w:pPr>
        <w:spacing w:after="60"/>
      </w:pPr>
      <w:r>
        <w:rPr>
          <w:rFonts w:ascii="Arial" w:cs="Arial" w:eastAsia="Arial" w:hAnsi="Arial"/>
          <w:b/>
          <w:bCs/>
          <w:sz w:val="22"/>
          <w:szCs w:val="22"/>
        </w:rPr>
        <w:t xml:space="preserve">Contexte :</w:t>
      </w:r>
    </w:p>
    <w:p>
      <w:pPr>
        <w:spacing w:after="160"/>
      </w:pPr>
      <w:r>
        <w:rPr>
          <w:rFonts w:ascii="Arial" w:cs="Arial" w:eastAsia="Arial" w:hAnsi="Arial"/>
          <w:sz w:val="22"/>
          <w:szCs w:val="22"/>
        </w:rPr>
        <w:t xml:space="preserve">Les pipelines ETL doivent pouvoir être relancés sans créer de doublons. En cas d'erreur intermédiaire, une ré-exécution complète ne doit pas corrompre les données existantes.</w:t>
      </w:r>
    </w:p>
    <w:p>
      <w:pPr>
        <w:spacing w:after="60"/>
      </w:pPr>
      <w:r>
        <w:rPr>
          <w:rFonts w:ascii="Arial" w:cs="Arial" w:eastAsia="Arial" w:hAnsi="Arial"/>
          <w:b/>
          <w:bCs/>
          <w:sz w:val="22"/>
          <w:szCs w:val="22"/>
        </w:rPr>
        <w:t xml:space="preserve">Décision :</w:t>
      </w:r>
    </w:p>
    <w:p>
      <w:pPr>
        <w:spacing w:after="160"/>
      </w:pPr>
      <w:r>
        <w:rPr>
          <w:rFonts w:ascii="Arial" w:cs="Arial" w:eastAsia="Arial" w:hAnsi="Arial"/>
          <w:sz w:val="22"/>
          <w:szCs w:val="22"/>
        </w:rPr>
        <w:t xml:space="preserve">INSERT ... ON CONFLICT DO UPDATE sur toutes les tables. Contraintes UNIQUE sur les clés métier (employee_id, employee_id+start_date, employee_id+period).</w:t>
      </w:r>
    </w:p>
    <w:p>
      <w:pPr>
        <w:spacing w:after="60"/>
      </w:pPr>
      <w:r>
        <w:rPr>
          <w:rFonts w:ascii="Arial" w:cs="Arial" w:eastAsia="Arial" w:hAnsi="Arial"/>
          <w:b/>
          <w:bCs/>
          <w:sz w:val="22"/>
          <w:szCs w:val="22"/>
        </w:rPr>
        <w:t xml:space="preserve">Conséquences :</w:t>
      </w:r>
    </w:p>
    <w:p>
      <w:pPr>
        <w:spacing w:after="40"/>
      </w:pPr>
      <w:r>
        <w:rPr>
          <w:rFonts w:ascii="Arial" w:cs="Arial" w:eastAsia="Arial" w:hAnsi="Arial"/>
          <w:sz w:val="22"/>
          <w:szCs w:val="22"/>
        </w:rPr>
        <w:t xml:space="preserve">  •  Idempotence : exécuter le pipeline N fois produit le même résultat</w:t>
      </w:r>
    </w:p>
    <w:p>
      <w:pPr>
        <w:spacing w:after="40"/>
      </w:pPr>
      <w:r>
        <w:rPr>
          <w:rFonts w:ascii="Arial" w:cs="Arial" w:eastAsia="Arial" w:hAnsi="Arial"/>
          <w:sz w:val="22"/>
          <w:szCs w:val="22"/>
        </w:rPr>
        <w:t xml:space="preserve">  •  Pas de risque de doublons même en cas de ré-exécution partielle</w:t>
      </w:r>
    </w:p>
    <w:p>
      <w:pPr>
        <w:spacing w:after="40"/>
      </w:pPr>
      <w:r>
        <w:rPr>
          <w:rFonts w:ascii="Arial" w:cs="Arial" w:eastAsia="Arial" w:hAnsi="Arial"/>
          <w:sz w:val="22"/>
          <w:szCs w:val="22"/>
        </w:rPr>
        <w:t xml:space="preserve">  •  Nécessite des contraintes UNIQUE bien définies sur chaque table</w:t>
      </w:r>
    </w:p>
    <w:p>
      <w:pPr>
        <w:spacing w:after="40"/>
      </w:pPr>
      <w:r>
        <w:rPr>
          <w:rFonts w:ascii="Arial" w:cs="Arial" w:eastAsia="Arial" w:hAnsi="Arial"/>
          <w:sz w:val="22"/>
          <w:szCs w:val="22"/>
        </w:rPr>
        <w:t xml:space="preserve">  •  Le dernier état écrase le précédent (acceptable pour notre cas d'usage)</w:t>
      </w:r>
    </w:p>
    <w:p>
      <w:pPr>
        <w:pStyle w:val="Heading1"/>
        <w:spacing w:before="400" w:after="200"/>
      </w:pPr>
      <w:r>
        <w:rPr>
          <w:rFonts w:ascii="Arial" w:cs="Arial" w:eastAsia="Arial" w:hAnsi="Arial"/>
          <w:b/>
          <w:bCs/>
          <w:sz w:val="28"/>
          <w:szCs w:val="28"/>
        </w:rPr>
        <w:t xml:space="preserve">ADR-016 — Process runner dans Kestra (pas Docker runner)</w:t>
      </w:r>
    </w:p>
    <w:p>
      <w:pPr>
        <w:spacing w:after="60"/>
      </w:pPr>
      <w:r>
        <w:rPr>
          <w:rFonts w:ascii="Arial" w:cs="Arial" w:eastAsia="Arial" w:hAnsi="Arial"/>
          <w:b/>
          <w:bCs/>
          <w:sz w:val="22"/>
          <w:szCs w:val="22"/>
        </w:rPr>
        <w:t xml:space="preserve">Contexte :</w:t>
      </w:r>
    </w:p>
    <w:p>
      <w:pPr>
        <w:spacing w:after="160"/>
      </w:pPr>
      <w:r>
        <w:rPr>
          <w:rFonts w:ascii="Arial" w:cs="Arial" w:eastAsia="Arial" w:hAnsi="Arial"/>
          <w:sz w:val="22"/>
          <w:szCs w:val="22"/>
        </w:rPr>
        <w:t xml:space="preserve">Kestra v0.18.0 propose deux modes d'exécution des scripts Python : Docker runner (exécute dans un container dédié) et Process runner (exécute directement dans le container Kestra). Le Docker runner posait des problèmes de montage de volumes et d'accès aux variables d'environnement.</w:t>
      </w:r>
    </w:p>
    <w:p>
      <w:pPr>
        <w:spacing w:after="60"/>
      </w:pPr>
      <w:r>
        <w:rPr>
          <w:rFonts w:ascii="Arial" w:cs="Arial" w:eastAsia="Arial" w:hAnsi="Arial"/>
          <w:b/>
          <w:bCs/>
          <w:sz w:val="22"/>
          <w:szCs w:val="22"/>
        </w:rPr>
        <w:t xml:space="preserve">Décision :</w:t>
      </w:r>
    </w:p>
    <w:p>
      <w:pPr>
        <w:spacing w:after="160"/>
      </w:pPr>
      <w:r>
        <w:rPr>
          <w:rFonts w:ascii="Arial" w:cs="Arial" w:eastAsia="Arial" w:hAnsi="Arial"/>
          <w:sz w:val="22"/>
          <w:szCs w:val="22"/>
        </w:rPr>
        <w:t xml:space="preserve">Process runner pour toutes les tâches Python. Le code source est monté dans le container Kestra via docker-compose. Les credentials sont injectés via des variables d'environnement avec le préfixe SPORT_*.</w:t>
      </w:r>
    </w:p>
    <w:p>
      <w:pPr>
        <w:spacing w:after="60"/>
      </w:pPr>
      <w:r>
        <w:rPr>
          <w:rFonts w:ascii="Arial" w:cs="Arial" w:eastAsia="Arial" w:hAnsi="Arial"/>
          <w:b/>
          <w:bCs/>
          <w:sz w:val="22"/>
          <w:szCs w:val="22"/>
        </w:rPr>
        <w:t xml:space="preserve">Conséquences :</w:t>
      </w:r>
    </w:p>
    <w:p>
      <w:pPr>
        <w:spacing w:after="40"/>
      </w:pPr>
      <w:r>
        <w:rPr>
          <w:rFonts w:ascii="Arial" w:cs="Arial" w:eastAsia="Arial" w:hAnsi="Arial"/>
          <w:sz w:val="22"/>
          <w:szCs w:val="22"/>
        </w:rPr>
        <w:t xml:space="preserve">  •  Accès direct aux variables d'environnement du container Kestra</w:t>
      </w:r>
    </w:p>
    <w:p>
      <w:pPr>
        <w:spacing w:after="40"/>
      </w:pPr>
      <w:r>
        <w:rPr>
          <w:rFonts w:ascii="Arial" w:cs="Arial" w:eastAsia="Arial" w:hAnsi="Arial"/>
          <w:sz w:val="22"/>
          <w:szCs w:val="22"/>
        </w:rPr>
        <w:t xml:space="preserve">  •  Pas de problème de montage de volumes entre containers</w:t>
      </w:r>
    </w:p>
    <w:p>
      <w:pPr>
        <w:spacing w:after="40"/>
      </w:pPr>
      <w:r>
        <w:rPr>
          <w:rFonts w:ascii="Arial" w:cs="Arial" w:eastAsia="Arial" w:hAnsi="Arial"/>
          <w:sz w:val="22"/>
          <w:szCs w:val="22"/>
        </w:rPr>
        <w:t xml:space="preserve">  •  Python 3.10 dans Kestra vs 3.11 localement : compatibilité assurée</w:t>
      </w:r>
    </w:p>
    <w:p>
      <w:pPr>
        <w:spacing w:after="40"/>
      </w:pPr>
      <w:r>
        <w:rPr>
          <w:rFonts w:ascii="Arial" w:cs="Arial" w:eastAsia="Arial" w:hAnsi="Arial"/>
          <w:sz w:val="22"/>
          <w:szCs w:val="22"/>
        </w:rPr>
        <w:t xml:space="preserve">  •  pip install ciblé par tâche (pas de requirements.txt global dans Kestra)</w:t>
      </w:r>
    </w:p>
    <w:p>
      <w:pPr>
        <w:spacing w:after="40"/>
      </w:pPr>
      <w:r>
        <w:rPr>
          <w:rFonts w:ascii="Arial" w:cs="Arial" w:eastAsia="Arial" w:hAnsi="Arial"/>
          <w:sz w:val="22"/>
          <w:szCs w:val="22"/>
        </w:rPr>
        <w:t xml:space="preserve">  •  warningOnStdErr: false nécessaire (le logger Python écrit sur stderr)</w:t>
      </w:r>
    </w:p>
    <w:p>
      <w:pPr>
        <w:pStyle w:val="Heading1"/>
        <w:spacing w:before="400" w:after="200"/>
      </w:pPr>
      <w:r>
        <w:rPr>
          <w:rFonts w:ascii="Arial" w:cs="Arial" w:eastAsia="Arial" w:hAnsi="Arial"/>
          <w:b/>
          <w:bCs/>
          <w:sz w:val="28"/>
          <w:szCs w:val="28"/>
        </w:rPr>
        <w:t xml:space="preserve">ADR-017 — Great Expectations installé via pip (pas Poetry)</w:t>
      </w:r>
    </w:p>
    <w:p>
      <w:pPr>
        <w:spacing w:after="60"/>
      </w:pPr>
      <w:r>
        <w:rPr>
          <w:rFonts w:ascii="Arial" w:cs="Arial" w:eastAsia="Arial" w:hAnsi="Arial"/>
          <w:b/>
          <w:bCs/>
          <w:sz w:val="22"/>
          <w:szCs w:val="22"/>
        </w:rPr>
        <w:t xml:space="preserve">Contexte :</w:t>
      </w:r>
    </w:p>
    <w:p>
      <w:pPr>
        <w:spacing w:after="160"/>
      </w:pPr>
      <w:r>
        <w:rPr>
          <w:rFonts w:ascii="Arial" w:cs="Arial" w:eastAsia="Arial" w:hAnsi="Arial"/>
          <w:sz w:val="22"/>
          <w:szCs w:val="22"/>
        </w:rPr>
        <w:t xml:space="preserve">Great Expectations v1.15 a un conflit de dépendances avec numpy dans notre environnement Poetry. L'installation via poetry add great-expectations échoue à résoudre les contraintes de version.</w:t>
      </w:r>
    </w:p>
    <w:p>
      <w:pPr>
        <w:spacing w:after="60"/>
      </w:pPr>
      <w:r>
        <w:rPr>
          <w:rFonts w:ascii="Arial" w:cs="Arial" w:eastAsia="Arial" w:hAnsi="Arial"/>
          <w:b/>
          <w:bCs/>
          <w:sz w:val="22"/>
          <w:szCs w:val="22"/>
        </w:rPr>
        <w:t xml:space="preserve">Décision :</w:t>
      </w:r>
    </w:p>
    <w:p>
      <w:pPr>
        <w:spacing w:after="160"/>
      </w:pPr>
      <w:r>
        <w:rPr>
          <w:rFonts w:ascii="Arial" w:cs="Arial" w:eastAsia="Arial" w:hAnsi="Arial"/>
          <w:sz w:val="22"/>
          <w:szCs w:val="22"/>
        </w:rPr>
        <w:t xml:space="preserve">Installer Great Expectations via pip install great-expectations directement, en dehors de la gestion Poetry.</w:t>
      </w:r>
    </w:p>
    <w:p>
      <w:pPr>
        <w:spacing w:after="60"/>
      </w:pPr>
      <w:r>
        <w:rPr>
          <w:rFonts w:ascii="Arial" w:cs="Arial" w:eastAsia="Arial" w:hAnsi="Arial"/>
          <w:b/>
          <w:bCs/>
          <w:sz w:val="22"/>
          <w:szCs w:val="22"/>
        </w:rPr>
        <w:t xml:space="preserve">Conséquences :</w:t>
      </w:r>
    </w:p>
    <w:p>
      <w:pPr>
        <w:spacing w:after="40"/>
      </w:pPr>
      <w:r>
        <w:rPr>
          <w:rFonts w:ascii="Arial" w:cs="Arial" w:eastAsia="Arial" w:hAnsi="Arial"/>
          <w:sz w:val="22"/>
          <w:szCs w:val="22"/>
        </w:rPr>
        <w:t xml:space="preserve">  •  Fonctionne immédiatement sans conflit de dépendances</w:t>
      </w:r>
    </w:p>
    <w:p>
      <w:pPr>
        <w:spacing w:after="40"/>
      </w:pPr>
      <w:r>
        <w:rPr>
          <w:rFonts w:ascii="Arial" w:cs="Arial" w:eastAsia="Arial" w:hAnsi="Arial"/>
          <w:sz w:val="22"/>
          <w:szCs w:val="22"/>
        </w:rPr>
        <w:t xml:space="preserve">  •  Pas tracé dans pyproject.toml : documenté dans requirements.txt pour Kestra</w:t>
      </w:r>
    </w:p>
    <w:p>
      <w:pPr>
        <w:spacing w:after="40"/>
      </w:pPr>
      <w:r>
        <w:rPr>
          <w:rFonts w:ascii="Arial" w:cs="Arial" w:eastAsia="Arial" w:hAnsi="Arial"/>
          <w:sz w:val="22"/>
          <w:szCs w:val="22"/>
        </w:rPr>
        <w:t xml:space="preserve">  •  31 expectations créées et validées, rapport HTML généré</w:t>
      </w:r>
    </w:p>
    <w:p>
      <w:pPr>
        <w:spacing w:after="40"/>
      </w:pPr>
      <w:r>
        <w:rPr>
          <w:rFonts w:ascii="Arial" w:cs="Arial" w:eastAsia="Arial" w:hAnsi="Arial"/>
          <w:sz w:val="22"/>
          <w:szCs w:val="22"/>
        </w:rPr>
        <w:t xml:space="preserve">  •  En production, résoudre le conflit numpy ou utiliser un environnement virtuel dédié</w:t>
      </w:r>
    </w:p>
    <w:p>
      <w:pPr>
        <w:pStyle w:val="Heading1"/>
        <w:spacing w:before="400" w:after="200"/>
      </w:pPr>
      <w:r>
        <w:rPr>
          <w:rFonts w:ascii="Arial" w:cs="Arial" w:eastAsia="Arial" w:hAnsi="Arial"/>
          <w:b/>
          <w:bCs/>
          <w:sz w:val="28"/>
          <w:szCs w:val="28"/>
        </w:rPr>
        <w:t xml:space="preserve">ADR-018 — Période glissante de 12 mois pour le calcul des bénéfices</w:t>
      </w:r>
    </w:p>
    <w:p>
      <w:pPr>
        <w:spacing w:after="60"/>
      </w:pPr>
      <w:r>
        <w:rPr>
          <w:rFonts w:ascii="Arial" w:cs="Arial" w:eastAsia="Arial" w:hAnsi="Arial"/>
          <w:b/>
          <w:bCs/>
          <w:sz w:val="22"/>
          <w:szCs w:val="22"/>
        </w:rPr>
        <w:t xml:space="preserve">Contexte :</w:t>
      </w:r>
    </w:p>
    <w:p>
      <w:pPr>
        <w:spacing w:after="160"/>
      </w:pPr>
      <w:r>
        <w:rPr>
          <w:rFonts w:ascii="Arial" w:cs="Arial" w:eastAsia="Arial" w:hAnsi="Arial"/>
          <w:sz w:val="22"/>
          <w:szCs w:val="22"/>
        </w:rPr>
        <w:t xml:space="preserve">Le calcul des bénéfices (bien-être) nécessite de compter les activités sur une période. Deux options : année civile (janvier-décembre) ou période glissante de 12 mois à partir de la date courante.</w:t>
      </w:r>
    </w:p>
    <w:p>
      <w:pPr>
        <w:spacing w:after="60"/>
      </w:pPr>
      <w:r>
        <w:rPr>
          <w:rFonts w:ascii="Arial" w:cs="Arial" w:eastAsia="Arial" w:hAnsi="Arial"/>
          <w:b/>
          <w:bCs/>
          <w:sz w:val="22"/>
          <w:szCs w:val="22"/>
        </w:rPr>
        <w:t xml:space="preserve">Décision :</w:t>
      </w:r>
    </w:p>
    <w:p>
      <w:pPr>
        <w:spacing w:after="160"/>
      </w:pPr>
      <w:r>
        <w:rPr>
          <w:rFonts w:ascii="Arial" w:cs="Arial" w:eastAsia="Arial" w:hAnsi="Arial"/>
          <w:sz w:val="22"/>
          <w:szCs w:val="22"/>
        </w:rPr>
        <w:t xml:space="preserve">Période glissante de 12 mois calculée avec dateutil.relativedelta(months=12). La période est [aujourd'hui - 12 mois, aujourd'hui].</w:t>
      </w:r>
    </w:p>
    <w:p>
      <w:pPr>
        <w:spacing w:after="60"/>
      </w:pPr>
      <w:r>
        <w:rPr>
          <w:rFonts w:ascii="Arial" w:cs="Arial" w:eastAsia="Arial" w:hAnsi="Arial"/>
          <w:b/>
          <w:bCs/>
          <w:sz w:val="22"/>
          <w:szCs w:val="22"/>
        </w:rPr>
        <w:t xml:space="preserve">Conséquences :</w:t>
      </w:r>
    </w:p>
    <w:p>
      <w:pPr>
        <w:spacing w:after="40"/>
      </w:pPr>
      <w:r>
        <w:rPr>
          <w:rFonts w:ascii="Arial" w:cs="Arial" w:eastAsia="Arial" w:hAnsi="Arial"/>
          <w:sz w:val="22"/>
          <w:szCs w:val="22"/>
        </w:rPr>
        <w:t xml:space="preserve">  •  Pas de biais saisonnier : un employé qui commence en septembre n'est pas désavantagé</w:t>
      </w:r>
    </w:p>
    <w:p>
      <w:pPr>
        <w:spacing w:after="40"/>
      </w:pPr>
      <w:r>
        <w:rPr>
          <w:rFonts w:ascii="Arial" w:cs="Arial" w:eastAsia="Arial" w:hAnsi="Arial"/>
          <w:sz w:val="22"/>
          <w:szCs w:val="22"/>
        </w:rPr>
        <w:t xml:space="preserve">  •  Résultats différents à chaque exécution (la fenêtre glisse)</w:t>
      </w:r>
    </w:p>
    <w:p>
      <w:pPr>
        <w:spacing w:after="40"/>
      </w:pPr>
      <w:r>
        <w:rPr>
          <w:rFonts w:ascii="Arial" w:cs="Arial" w:eastAsia="Arial" w:hAnsi="Arial"/>
          <w:sz w:val="22"/>
          <w:szCs w:val="22"/>
        </w:rPr>
        <w:t xml:space="preserve">  •  relativedelta(months=12) est précis (gère les années bissextiles, contrairement à timedelta(days=365))</w:t>
      </w:r>
    </w:p>
    <w:p>
      <w:pPr>
        <w:spacing w:after="40"/>
      </w:pPr>
      <w:r>
        <w:rPr>
          <w:rFonts w:ascii="Arial" w:cs="Arial" w:eastAsia="Arial" w:hAnsi="Arial"/>
          <w:sz w:val="22"/>
          <w:szCs w:val="22"/>
        </w:rPr>
        <w:t xml:space="preserve">  •  Cohérent avec la note de cadrage qui demande les 12 derniers mois</w:t>
      </w:r>
    </w:p>
    <w:p>
      <w:pPr>
        <w:pStyle w:val="Heading1"/>
        <w:spacing w:before="400" w:after="200"/>
      </w:pPr>
      <w:r>
        <w:rPr>
          <w:rFonts w:ascii="Arial" w:cs="Arial" w:eastAsia="Arial" w:hAnsi="Arial"/>
          <w:b/>
          <w:bCs/>
          <w:sz w:val="28"/>
          <w:szCs w:val="28"/>
        </w:rPr>
        <w:t xml:space="preserve">ADR-019 — Génération déterministe des activités (seed=42)</w:t>
      </w:r>
    </w:p>
    <w:p>
      <w:pPr>
        <w:spacing w:after="60"/>
      </w:pPr>
      <w:r>
        <w:rPr>
          <w:rFonts w:ascii="Arial" w:cs="Arial" w:eastAsia="Arial" w:hAnsi="Arial"/>
          <w:b/>
          <w:bCs/>
          <w:sz w:val="22"/>
          <w:szCs w:val="22"/>
        </w:rPr>
        <w:t xml:space="preserve">Contexte :</w:t>
      </w:r>
    </w:p>
    <w:p>
      <w:pPr>
        <w:spacing w:after="160"/>
      </w:pPr>
      <w:r>
        <w:rPr>
          <w:rFonts w:ascii="Arial" w:cs="Arial" w:eastAsia="Arial" w:hAnsi="Arial"/>
          <w:sz w:val="22"/>
          <w:szCs w:val="22"/>
        </w:rPr>
        <w:t xml:space="preserve">Les activités sportives sont simulées (en attendant l'API Strava). Les données générées doivent être reproductibles pour que les tests, les démos et les comparaisons entre exécutions soient cohérents.</w:t>
      </w:r>
    </w:p>
    <w:p>
      <w:pPr>
        <w:spacing w:after="60"/>
      </w:pPr>
      <w:r>
        <w:rPr>
          <w:rFonts w:ascii="Arial" w:cs="Arial" w:eastAsia="Arial" w:hAnsi="Arial"/>
          <w:b/>
          <w:bCs/>
          <w:sz w:val="22"/>
          <w:szCs w:val="22"/>
        </w:rPr>
        <w:t xml:space="preserve">Décision :</w:t>
      </w:r>
    </w:p>
    <w:p>
      <w:pPr>
        <w:spacing w:after="160"/>
      </w:pPr>
      <w:r>
        <w:rPr>
          <w:rFonts w:ascii="Arial" w:cs="Arial" w:eastAsia="Arial" w:hAnsi="Arial"/>
          <w:sz w:val="22"/>
          <w:szCs w:val="22"/>
        </w:rPr>
        <w:t xml:space="preserve">Générateur Python avec numpy.random.seed(42). 7 237 activités pour 95 employés sur 12 mois. Chaque sport a des plages réalistes de distance, vitesse et dénivelé.</w:t>
      </w:r>
    </w:p>
    <w:p>
      <w:pPr>
        <w:spacing w:after="60"/>
      </w:pPr>
      <w:r>
        <w:rPr>
          <w:rFonts w:ascii="Arial" w:cs="Arial" w:eastAsia="Arial" w:hAnsi="Arial"/>
          <w:b/>
          <w:bCs/>
          <w:sz w:val="22"/>
          <w:szCs w:val="22"/>
        </w:rPr>
        <w:t xml:space="preserve">Conséquences :</w:t>
      </w:r>
    </w:p>
    <w:p>
      <w:pPr>
        <w:spacing w:after="40"/>
      </w:pPr>
      <w:r>
        <w:rPr>
          <w:rFonts w:ascii="Arial" w:cs="Arial" w:eastAsia="Arial" w:hAnsi="Arial"/>
          <w:sz w:val="22"/>
          <w:szCs w:val="22"/>
        </w:rPr>
        <w:t xml:space="preserve">  •  Reproductibilité : même seed = mêmes données à chaque exécution</w:t>
      </w:r>
    </w:p>
    <w:p>
      <w:pPr>
        <w:spacing w:after="40"/>
      </w:pPr>
      <w:r>
        <w:rPr>
          <w:rFonts w:ascii="Arial" w:cs="Arial" w:eastAsia="Arial" w:hAnsi="Arial"/>
          <w:sz w:val="22"/>
          <w:szCs w:val="22"/>
        </w:rPr>
        <w:t xml:space="preserve">  •  Comparable : les KPIs ne changent pas entre deux démos</w:t>
      </w:r>
    </w:p>
    <w:p>
      <w:pPr>
        <w:spacing w:after="40"/>
      </w:pPr>
      <w:r>
        <w:rPr>
          <w:rFonts w:ascii="Arial" w:cs="Arial" w:eastAsia="Arial" w:hAnsi="Arial"/>
          <w:sz w:val="22"/>
          <w:szCs w:val="22"/>
        </w:rPr>
        <w:t xml:space="preserve">  •  15 sports mappés vers 7 catégories ENUM avec des paramètres physiques réalistes</w:t>
      </w:r>
    </w:p>
    <w:p>
      <w:pPr>
        <w:spacing w:after="40"/>
      </w:pPr>
      <w:r>
        <w:rPr>
          <w:rFonts w:ascii="Arial" w:cs="Arial" w:eastAsia="Arial" w:hAnsi="Arial"/>
          <w:sz w:val="22"/>
          <w:szCs w:val="22"/>
        </w:rPr>
        <w:t xml:space="preserve">  •  En production, ce générateur sera remplacé par l'ingestion Strava API</w:t>
      </w: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233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2026-03-27T21:21:05.521Z</dcterms:created>
  <dcterms:modified xsi:type="dcterms:W3CDTF">2026-03-27T21:21:05.522Z</dcterms:modified>
</cp:coreProperties>
</file>

<file path=docProps/custom.xml><?xml version="1.0" encoding="utf-8"?>
<Properties xmlns="http://schemas.openxmlformats.org/officeDocument/2006/custom-properties" xmlns:vt="http://schemas.openxmlformats.org/officeDocument/2006/docPropsVTypes"/>
</file>