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They must have been taken into account, but they couldn't have because of the absence of technical specifications, so this is why they aren't shown in this report.</w:t>
      </w:r>
    </w:p>
    <w:p>
      <w:pPr>
        <w:spacing w:before="240" w:after="240"/>
      </w:pPr>
      <w:r>
        <w:t>Had they provided clear enough documentation, we could have taken them into account, and they will have appeared in this report.</w:t>
      </w:r>
    </w:p>
    <w:p>
      <w:pPr>
        <w:spacing w:before="240" w:after="240"/>
      </w:pPr>
    </w:p>
    <w:p>
      <w:pPr>
        <w:spacing w:before="240" w:after="240"/>
      </w:pPr>
      <w:r>
        <w:t>There six items must have been in this box.</w:t>
      </w:r>
    </w:p>
    <w:p>
      <w:pPr>
        <w:spacing w:before="240" w:after="240"/>
      </w:pPr>
      <w:r>
        <w:t>That box must have contained six items.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